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701" w:rsidRPr="00584B98" w:rsidRDefault="00154701">
      <w:pPr>
        <w:pStyle w:val="Title"/>
        <w:rPr>
          <w:szCs w:val="32"/>
        </w:rPr>
      </w:pPr>
      <w:r w:rsidRPr="00584B98">
        <w:t xml:space="preserve">       </w:t>
      </w:r>
      <w:r w:rsidRPr="00584B98">
        <w:rPr>
          <w:szCs w:val="32"/>
        </w:rPr>
        <w:t>Key Considerations for Des</w:t>
      </w:r>
      <w:r w:rsidR="006452CB" w:rsidRPr="00584B98">
        <w:rPr>
          <w:szCs w:val="32"/>
        </w:rPr>
        <w:t xml:space="preserve">igning and Operating Clinically </w:t>
      </w:r>
      <w:r w:rsidR="00FD4BF6">
        <w:rPr>
          <w:szCs w:val="32"/>
        </w:rPr>
        <w:t xml:space="preserve">  </w:t>
      </w:r>
      <w:r w:rsidRPr="00584B98">
        <w:rPr>
          <w:szCs w:val="32"/>
        </w:rPr>
        <w:t>Successful and Solvent Lipid</w:t>
      </w:r>
      <w:r w:rsidR="00584B98">
        <w:rPr>
          <w:szCs w:val="32"/>
        </w:rPr>
        <w:t xml:space="preserve"> Clinic</w:t>
      </w:r>
      <w:r w:rsidRPr="00584B98">
        <w:rPr>
          <w:szCs w:val="32"/>
        </w:rPr>
        <w:t xml:space="preserve"> </w:t>
      </w:r>
      <w:r w:rsidR="00435D10" w:rsidRPr="00584B98">
        <w:rPr>
          <w:szCs w:val="32"/>
        </w:rPr>
        <w:t xml:space="preserve">                                             </w:t>
      </w:r>
      <w:r w:rsidR="00584B98">
        <w:rPr>
          <w:szCs w:val="32"/>
        </w:rPr>
        <w:t xml:space="preserve">                        </w:t>
      </w:r>
      <w:r w:rsidR="00435D10" w:rsidRPr="00584B98">
        <w:rPr>
          <w:szCs w:val="32"/>
        </w:rPr>
        <w:t xml:space="preserve">  </w:t>
      </w:r>
      <w:r w:rsidR="00BC1ADA" w:rsidRPr="00584B98">
        <w:rPr>
          <w:szCs w:val="32"/>
        </w:rPr>
        <w:t xml:space="preserve">and </w:t>
      </w:r>
      <w:r w:rsidR="00EC05F5">
        <w:rPr>
          <w:szCs w:val="32"/>
        </w:rPr>
        <w:t xml:space="preserve">Cardiometabolic </w:t>
      </w:r>
      <w:r w:rsidR="00383DB0" w:rsidRPr="00584B98">
        <w:rPr>
          <w:szCs w:val="32"/>
        </w:rPr>
        <w:t>Risk Reduction</w:t>
      </w:r>
      <w:r w:rsidR="00BC1ADA" w:rsidRPr="00584B98">
        <w:rPr>
          <w:b w:val="0"/>
          <w:szCs w:val="32"/>
        </w:rPr>
        <w:t xml:space="preserve"> </w:t>
      </w:r>
      <w:r w:rsidRPr="00584B98">
        <w:rPr>
          <w:szCs w:val="32"/>
        </w:rPr>
        <w:t>Program</w:t>
      </w:r>
      <w:r w:rsidR="00BA6144" w:rsidRPr="00584B98">
        <w:rPr>
          <w:szCs w:val="32"/>
        </w:rPr>
        <w:t>s</w:t>
      </w:r>
    </w:p>
    <w:p w:rsidR="00154701" w:rsidRPr="00BA6144" w:rsidRDefault="00154701">
      <w:pPr>
        <w:jc w:val="center"/>
        <w:rPr>
          <w:rFonts w:cs="Arial"/>
          <w:sz w:val="32"/>
          <w:szCs w:val="32"/>
        </w:rPr>
      </w:pPr>
    </w:p>
    <w:p w:rsidR="00EB2660" w:rsidRDefault="00EB2660" w:rsidP="00166874">
      <w:pPr>
        <w:jc w:val="center"/>
        <w:rPr>
          <w:rFonts w:ascii="Times New Roman" w:hAnsi="Times New Roman"/>
        </w:rPr>
      </w:pPr>
      <w:r>
        <w:rPr>
          <w:rFonts w:ascii="Times New Roman" w:hAnsi="Times New Roman"/>
        </w:rPr>
        <w:t>Duke University</w:t>
      </w:r>
    </w:p>
    <w:p w:rsidR="00EB2660" w:rsidRDefault="00EB2660" w:rsidP="00166874">
      <w:pPr>
        <w:jc w:val="center"/>
        <w:rPr>
          <w:rFonts w:ascii="Times New Roman" w:hAnsi="Times New Roman"/>
        </w:rPr>
      </w:pPr>
      <w:r>
        <w:rPr>
          <w:rFonts w:ascii="Times New Roman" w:hAnsi="Times New Roman"/>
        </w:rPr>
        <w:t>Division of Endocrinology, Metabolism and Nutrition</w:t>
      </w:r>
    </w:p>
    <w:p w:rsidR="00E430D0" w:rsidRDefault="00EB2660" w:rsidP="00166874">
      <w:pPr>
        <w:jc w:val="center"/>
        <w:rPr>
          <w:rFonts w:ascii="Times New Roman" w:hAnsi="Times New Roman"/>
        </w:rPr>
      </w:pPr>
      <w:r>
        <w:rPr>
          <w:rFonts w:ascii="Times New Roman" w:hAnsi="Times New Roman"/>
        </w:rPr>
        <w:t>Durham, NC</w:t>
      </w:r>
    </w:p>
    <w:bookmarkStart w:id="0" w:name="_Hlt100223203"/>
    <w:p w:rsidR="00154701" w:rsidRPr="00166874" w:rsidRDefault="00611F50" w:rsidP="00166874">
      <w:pPr>
        <w:jc w:val="center"/>
        <w:rPr>
          <w:rFonts w:ascii="Times New Roman" w:hAnsi="Times New Roman"/>
          <w:sz w:val="22"/>
          <w:szCs w:val="22"/>
        </w:rPr>
      </w:pPr>
      <w:r w:rsidRPr="00166874">
        <w:rPr>
          <w:sz w:val="22"/>
          <w:szCs w:val="22"/>
        </w:rPr>
        <w:fldChar w:fldCharType="begin"/>
      </w:r>
      <w:r w:rsidR="00D5579A" w:rsidRPr="00166874">
        <w:rPr>
          <w:sz w:val="22"/>
          <w:szCs w:val="22"/>
        </w:rPr>
        <w:instrText>HYPERLINK "mailto:rlaforge@nc.rr.com"</w:instrText>
      </w:r>
      <w:r w:rsidRPr="00166874">
        <w:rPr>
          <w:sz w:val="22"/>
          <w:szCs w:val="22"/>
        </w:rPr>
        <w:fldChar w:fldCharType="separate"/>
      </w:r>
      <w:r w:rsidR="008405E8" w:rsidRPr="00166874">
        <w:rPr>
          <w:rStyle w:val="Hyperlink"/>
          <w:sz w:val="22"/>
          <w:szCs w:val="22"/>
        </w:rPr>
        <w:t>rlaforge@nc.rr.com</w:t>
      </w:r>
      <w:bookmarkEnd w:id="0"/>
      <w:r w:rsidRPr="00166874">
        <w:rPr>
          <w:sz w:val="22"/>
          <w:szCs w:val="22"/>
        </w:rPr>
        <w:fldChar w:fldCharType="end"/>
      </w:r>
    </w:p>
    <w:p w:rsidR="00154701" w:rsidRPr="00166874" w:rsidRDefault="00154701">
      <w:pPr>
        <w:rPr>
          <w:rFonts w:ascii="Times New Roman" w:hAnsi="Times New Roman"/>
          <w:sz w:val="22"/>
          <w:szCs w:val="22"/>
        </w:rPr>
      </w:pPr>
    </w:p>
    <w:p w:rsidR="00154701" w:rsidRDefault="00154701">
      <w:pPr>
        <w:rPr>
          <w:rFonts w:ascii="Times New Roman" w:hAnsi="Times New Roman"/>
          <w:b/>
        </w:rPr>
      </w:pPr>
    </w:p>
    <w:p w:rsidR="00154701" w:rsidRDefault="00154701">
      <w:pPr>
        <w:rPr>
          <w:rFonts w:ascii="Times New Roman" w:hAnsi="Times New Roman"/>
          <w:b/>
        </w:rPr>
      </w:pPr>
      <w:r>
        <w:rPr>
          <w:rFonts w:ascii="Times New Roman" w:hAnsi="Times New Roman"/>
          <w:b/>
        </w:rPr>
        <w:t>Key Characteristics of Successful Lipid Clinic Programs</w:t>
      </w:r>
    </w:p>
    <w:p w:rsidR="00154701" w:rsidRDefault="00154701">
      <w:pPr>
        <w:rPr>
          <w:rFonts w:ascii="Times New Roman" w:hAnsi="Times New Roman"/>
          <w:b/>
        </w:rPr>
      </w:pPr>
    </w:p>
    <w:p w:rsidR="00E20FD6" w:rsidRDefault="00154701" w:rsidP="00623972">
      <w:pPr>
        <w:rPr>
          <w:rFonts w:ascii="Times New Roman" w:hAnsi="Times New Roman"/>
        </w:rPr>
      </w:pPr>
      <w:r>
        <w:rPr>
          <w:rFonts w:ascii="Times New Roman" w:hAnsi="Times New Roman"/>
        </w:rPr>
        <w:t>In recent years, particularly since the publication of</w:t>
      </w:r>
      <w:r w:rsidR="00687DEE">
        <w:rPr>
          <w:rFonts w:ascii="Times New Roman" w:hAnsi="Times New Roman"/>
        </w:rPr>
        <w:t xml:space="preserve"> </w:t>
      </w:r>
      <w:r w:rsidR="002739FC">
        <w:rPr>
          <w:rFonts w:ascii="Times New Roman" w:hAnsi="Times New Roman"/>
        </w:rPr>
        <w:t xml:space="preserve">the </w:t>
      </w:r>
      <w:r w:rsidR="00687DEE">
        <w:rPr>
          <w:rFonts w:ascii="Times New Roman" w:hAnsi="Times New Roman"/>
        </w:rPr>
        <w:t>NCEP ATP III guideline update in 2004</w:t>
      </w:r>
      <w:r w:rsidR="002739FC">
        <w:rPr>
          <w:rFonts w:ascii="Times New Roman" w:hAnsi="Times New Roman"/>
        </w:rPr>
        <w:t xml:space="preserve"> and more recently the</w:t>
      </w:r>
      <w:r w:rsidR="00EB2660">
        <w:rPr>
          <w:rFonts w:ascii="Times New Roman" w:hAnsi="Times New Roman"/>
        </w:rPr>
        <w:t xml:space="preserve"> NLA 2014 Patient Centered Dyslipidemia Guidelines, </w:t>
      </w:r>
      <w:r w:rsidR="002739FC">
        <w:rPr>
          <w:rFonts w:ascii="Times New Roman" w:hAnsi="Times New Roman"/>
        </w:rPr>
        <w:t xml:space="preserve"> International Atherosclerosis Society 2013 Dyslipidemia Guidelines (IAS) and the 2013 ACC/AHA Cholesterol Guidelines</w:t>
      </w:r>
      <w:r>
        <w:rPr>
          <w:rFonts w:ascii="Times New Roman" w:hAnsi="Times New Roman"/>
        </w:rPr>
        <w:t xml:space="preserve">, there has been a burgeoning growth of “lipid clinic” </w:t>
      </w:r>
      <w:r w:rsidR="00482F81">
        <w:rPr>
          <w:rFonts w:ascii="Times New Roman" w:hAnsi="Times New Roman"/>
        </w:rPr>
        <w:t xml:space="preserve">and cardiometabolic risk reduction (CMR) </w:t>
      </w:r>
      <w:r>
        <w:rPr>
          <w:rFonts w:ascii="Times New Roman" w:hAnsi="Times New Roman"/>
        </w:rPr>
        <w:t xml:space="preserve">programs in a variety of </w:t>
      </w:r>
      <w:r w:rsidR="00482F81">
        <w:rPr>
          <w:rFonts w:ascii="Times New Roman" w:hAnsi="Times New Roman"/>
        </w:rPr>
        <w:t>health care</w:t>
      </w:r>
      <w:r>
        <w:rPr>
          <w:rFonts w:ascii="Times New Roman" w:hAnsi="Times New Roman"/>
        </w:rPr>
        <w:t xml:space="preserve"> settings. </w:t>
      </w:r>
      <w:r w:rsidR="009201DC">
        <w:rPr>
          <w:rFonts w:ascii="Times New Roman" w:hAnsi="Times New Roman"/>
        </w:rPr>
        <w:t>Many of these programs have come and gone</w:t>
      </w:r>
      <w:r w:rsidR="000E1491">
        <w:rPr>
          <w:rFonts w:ascii="Times New Roman" w:hAnsi="Times New Roman"/>
        </w:rPr>
        <w:t xml:space="preserve"> with economic and referral challenges</w:t>
      </w:r>
      <w:r w:rsidR="009201DC">
        <w:rPr>
          <w:rFonts w:ascii="Times New Roman" w:hAnsi="Times New Roman"/>
        </w:rPr>
        <w:t xml:space="preserve">.  This paper will discuss recommendations for inaugurating and sustaining a productive and cost-justified approach. </w:t>
      </w:r>
    </w:p>
    <w:p w:rsidR="00E20FD6" w:rsidRDefault="00E20FD6" w:rsidP="00623972">
      <w:pPr>
        <w:rPr>
          <w:rFonts w:ascii="Times New Roman" w:hAnsi="Times New Roman"/>
        </w:rPr>
      </w:pPr>
    </w:p>
    <w:p w:rsidR="00383DB0" w:rsidRDefault="00383DB0" w:rsidP="00623972">
      <w:pPr>
        <w:rPr>
          <w:rFonts w:ascii="Times New Roman" w:hAnsi="Times New Roman"/>
        </w:rPr>
      </w:pPr>
      <w:r w:rsidRPr="00383DB0">
        <w:rPr>
          <w:rFonts w:ascii="Times New Roman" w:hAnsi="Times New Roman"/>
        </w:rPr>
        <w:t>Although there has been no universally accepted definition of a “lipid clinic” in 2003 after having visited and consulted with scores of practices aiming to organize something more than just a generalized interest in “cholesterol control” for their patients</w:t>
      </w:r>
      <w:r w:rsidR="000E1491">
        <w:rPr>
          <w:rFonts w:ascii="Times New Roman" w:hAnsi="Times New Roman"/>
        </w:rPr>
        <w:t xml:space="preserve"> it was</w:t>
      </w:r>
      <w:r w:rsidRPr="00383DB0">
        <w:rPr>
          <w:rFonts w:ascii="Times New Roman" w:hAnsi="Times New Roman"/>
        </w:rPr>
        <w:t xml:space="preserve"> necessary to qualify what would constitute a reasonable definition of a more focused clinic approach to managing more difficult dyslipidemia/dyslipoproteinemia cases: </w:t>
      </w:r>
      <w:r w:rsidRPr="00383DB0">
        <w:rPr>
          <w:rFonts w:ascii="Times New Roman" w:hAnsi="Times New Roman"/>
          <w:i/>
        </w:rPr>
        <w:t>A coordinated and systematic process whereby patients who have a lipid and/or lipoprotein disorder are identified, risk-triaged and expediently managed to acceptable lipid/lipoprotein and behavioral goals by a qualified and dedicated staff</w:t>
      </w:r>
      <w:r w:rsidRPr="00383DB0">
        <w:rPr>
          <w:rFonts w:ascii="Times New Roman" w:hAnsi="Times New Roman"/>
        </w:rPr>
        <w:t xml:space="preserve">.  The assumption with this definition is that dedicated lipid </w:t>
      </w:r>
      <w:r w:rsidR="00D66F81">
        <w:rPr>
          <w:rFonts w:ascii="Times New Roman" w:hAnsi="Times New Roman"/>
        </w:rPr>
        <w:t>clinic services</w:t>
      </w:r>
      <w:r w:rsidRPr="00383DB0">
        <w:rPr>
          <w:rFonts w:ascii="Times New Roman" w:hAnsi="Times New Roman"/>
        </w:rPr>
        <w:t xml:space="preserve"> would address more uncommon and complex lipid disorders while </w:t>
      </w:r>
      <w:r w:rsidR="001A200A">
        <w:rPr>
          <w:rFonts w:ascii="Times New Roman" w:hAnsi="Times New Roman"/>
        </w:rPr>
        <w:t xml:space="preserve">health care </w:t>
      </w:r>
      <w:r w:rsidRPr="00383DB0">
        <w:rPr>
          <w:rFonts w:ascii="Times New Roman" w:hAnsi="Times New Roman"/>
        </w:rPr>
        <w:t xml:space="preserve">providers in general would manage </w:t>
      </w:r>
      <w:r w:rsidR="006706D2">
        <w:rPr>
          <w:rFonts w:ascii="Times New Roman" w:hAnsi="Times New Roman"/>
        </w:rPr>
        <w:t xml:space="preserve">more straight-forward </w:t>
      </w:r>
      <w:r w:rsidR="00D66F81">
        <w:rPr>
          <w:rFonts w:ascii="Times New Roman" w:hAnsi="Times New Roman"/>
        </w:rPr>
        <w:t xml:space="preserve">dyslipidemia (e.g., </w:t>
      </w:r>
      <w:r w:rsidRPr="00383DB0">
        <w:rPr>
          <w:rFonts w:ascii="Times New Roman" w:hAnsi="Times New Roman"/>
        </w:rPr>
        <w:t>polygenic dyslipidemia</w:t>
      </w:r>
      <w:r w:rsidR="00D66F81">
        <w:rPr>
          <w:rFonts w:ascii="Times New Roman" w:hAnsi="Times New Roman"/>
        </w:rPr>
        <w:t>)</w:t>
      </w:r>
      <w:bookmarkStart w:id="1" w:name="_GoBack"/>
      <w:bookmarkEnd w:id="1"/>
      <w:r w:rsidRPr="00383DB0">
        <w:rPr>
          <w:rFonts w:ascii="Times New Roman" w:hAnsi="Times New Roman"/>
        </w:rPr>
        <w:t xml:space="preserve"> in a usual care approach. </w:t>
      </w:r>
      <w:r w:rsidR="00154701">
        <w:rPr>
          <w:rFonts w:ascii="Times New Roman" w:hAnsi="Times New Roman"/>
        </w:rPr>
        <w:t xml:space="preserve">Moreover, in contrast to usual care, such </w:t>
      </w:r>
      <w:r w:rsidR="001A200A">
        <w:rPr>
          <w:rFonts w:ascii="Times New Roman" w:hAnsi="Times New Roman"/>
        </w:rPr>
        <w:t xml:space="preserve">lipid clinic </w:t>
      </w:r>
      <w:r w:rsidR="00154701">
        <w:rPr>
          <w:rFonts w:ascii="Times New Roman" w:hAnsi="Times New Roman"/>
        </w:rPr>
        <w:t xml:space="preserve">programs </w:t>
      </w:r>
      <w:r w:rsidR="001A200A">
        <w:rPr>
          <w:rFonts w:ascii="Times New Roman" w:hAnsi="Times New Roman"/>
        </w:rPr>
        <w:t xml:space="preserve">would </w:t>
      </w:r>
      <w:r w:rsidR="00154701">
        <w:rPr>
          <w:rFonts w:ascii="Times New Roman" w:hAnsi="Times New Roman"/>
        </w:rPr>
        <w:t>employ defined treatment pathways grounded in currently published consensus diagnostic and treatment guidelines for lipid and lipoprotein disorders, e</w:t>
      </w:r>
      <w:r w:rsidR="001A200A">
        <w:rPr>
          <w:rFonts w:ascii="Times New Roman" w:hAnsi="Times New Roman"/>
        </w:rPr>
        <w:t>.</w:t>
      </w:r>
      <w:r w:rsidR="00154701">
        <w:rPr>
          <w:rFonts w:ascii="Times New Roman" w:hAnsi="Times New Roman"/>
        </w:rPr>
        <w:t>g.</w:t>
      </w:r>
      <w:r w:rsidR="001A200A">
        <w:rPr>
          <w:rFonts w:ascii="Times New Roman" w:hAnsi="Times New Roman"/>
        </w:rPr>
        <w:t>,</w:t>
      </w:r>
      <w:r w:rsidR="002739FC">
        <w:rPr>
          <w:rFonts w:ascii="Times New Roman" w:hAnsi="Times New Roman"/>
        </w:rPr>
        <w:t xml:space="preserve"> </w:t>
      </w:r>
      <w:r w:rsidR="008B3718">
        <w:rPr>
          <w:rFonts w:ascii="Times New Roman" w:hAnsi="Times New Roman"/>
        </w:rPr>
        <w:t xml:space="preserve">NLA 2014, </w:t>
      </w:r>
      <w:r w:rsidR="002739FC">
        <w:rPr>
          <w:rFonts w:ascii="Times New Roman" w:hAnsi="Times New Roman"/>
        </w:rPr>
        <w:t xml:space="preserve"> IAS 2013, and ACC/AHA 2013.</w:t>
      </w:r>
      <w:r w:rsidR="00154701">
        <w:rPr>
          <w:rFonts w:ascii="Times New Roman" w:hAnsi="Times New Roman"/>
        </w:rPr>
        <w:t xml:space="preserve">  </w:t>
      </w:r>
    </w:p>
    <w:p w:rsidR="00383DB0" w:rsidRDefault="00383DB0" w:rsidP="00623972">
      <w:pPr>
        <w:rPr>
          <w:rFonts w:ascii="Times New Roman" w:hAnsi="Times New Roman"/>
        </w:rPr>
      </w:pPr>
    </w:p>
    <w:p w:rsidR="00623972" w:rsidRDefault="00154701" w:rsidP="00623972">
      <w:pPr>
        <w:rPr>
          <w:rFonts w:ascii="Times New Roman" w:hAnsi="Times New Roman"/>
        </w:rPr>
      </w:pPr>
      <w:r>
        <w:rPr>
          <w:rFonts w:ascii="Times New Roman" w:hAnsi="Times New Roman"/>
        </w:rPr>
        <w:t xml:space="preserve">Over the last </w:t>
      </w:r>
      <w:r w:rsidR="00B34307">
        <w:rPr>
          <w:rFonts w:ascii="Times New Roman" w:hAnsi="Times New Roman"/>
        </w:rPr>
        <w:t>2</w:t>
      </w:r>
      <w:r w:rsidR="00F559B6">
        <w:rPr>
          <w:rFonts w:ascii="Times New Roman" w:hAnsi="Times New Roman"/>
        </w:rPr>
        <w:t>5</w:t>
      </w:r>
      <w:r>
        <w:rPr>
          <w:rFonts w:ascii="Times New Roman" w:hAnsi="Times New Roman"/>
        </w:rPr>
        <w:t xml:space="preserve"> years </w:t>
      </w:r>
      <w:r w:rsidR="00901FCD">
        <w:rPr>
          <w:rFonts w:ascii="Times New Roman" w:hAnsi="Times New Roman"/>
        </w:rPr>
        <w:t>having</w:t>
      </w:r>
      <w:r>
        <w:rPr>
          <w:rFonts w:ascii="Times New Roman" w:hAnsi="Times New Roman"/>
        </w:rPr>
        <w:t xml:space="preserve"> had the opportunity to help many health care institutions inaugurate more systematic approaches to managing lipid disorders </w:t>
      </w:r>
      <w:r w:rsidR="004F1E64">
        <w:rPr>
          <w:rFonts w:ascii="Times New Roman" w:hAnsi="Times New Roman"/>
        </w:rPr>
        <w:t xml:space="preserve">and cardiometabolic risk </w:t>
      </w:r>
      <w:r>
        <w:rPr>
          <w:rFonts w:ascii="Times New Roman" w:hAnsi="Times New Roman"/>
        </w:rPr>
        <w:t xml:space="preserve">primarily through the organization and implementation of a lipid or </w:t>
      </w:r>
      <w:r w:rsidR="00A81E36">
        <w:rPr>
          <w:rFonts w:ascii="Times New Roman" w:hAnsi="Times New Roman"/>
        </w:rPr>
        <w:t>cardiometabolic/</w:t>
      </w:r>
      <w:r>
        <w:rPr>
          <w:rFonts w:ascii="Times New Roman" w:hAnsi="Times New Roman"/>
        </w:rPr>
        <w:t>metabolic syndrome clinic service</w:t>
      </w:r>
      <w:r w:rsidR="00BC25F7">
        <w:rPr>
          <w:rFonts w:ascii="Times New Roman" w:hAnsi="Times New Roman"/>
        </w:rPr>
        <w:t xml:space="preserve"> I have provided</w:t>
      </w:r>
      <w:r w:rsidR="00521EE6">
        <w:rPr>
          <w:rFonts w:ascii="Times New Roman" w:hAnsi="Times New Roman"/>
        </w:rPr>
        <w:t xml:space="preserve"> a</w:t>
      </w:r>
      <w:r>
        <w:rPr>
          <w:rFonts w:ascii="Times New Roman" w:hAnsi="Times New Roman"/>
        </w:rPr>
        <w:t xml:space="preserve"> synopsis of </w:t>
      </w:r>
      <w:r w:rsidR="00383DB0">
        <w:rPr>
          <w:rFonts w:ascii="Times New Roman" w:hAnsi="Times New Roman"/>
        </w:rPr>
        <w:t>1</w:t>
      </w:r>
      <w:r w:rsidR="00481D69">
        <w:rPr>
          <w:rFonts w:ascii="Times New Roman" w:hAnsi="Times New Roman"/>
        </w:rPr>
        <w:t>3</w:t>
      </w:r>
      <w:r w:rsidR="00383DB0">
        <w:rPr>
          <w:rFonts w:ascii="Times New Roman" w:hAnsi="Times New Roman"/>
        </w:rPr>
        <w:t xml:space="preserve"> </w:t>
      </w:r>
      <w:r w:rsidR="00521EE6">
        <w:rPr>
          <w:rFonts w:ascii="Times New Roman" w:hAnsi="Times New Roman"/>
        </w:rPr>
        <w:t xml:space="preserve">key </w:t>
      </w:r>
      <w:r w:rsidR="00383DB0">
        <w:rPr>
          <w:rFonts w:ascii="Times New Roman" w:hAnsi="Times New Roman"/>
        </w:rPr>
        <w:t>considerations</w:t>
      </w:r>
      <w:r w:rsidR="00AB0BA5">
        <w:rPr>
          <w:rFonts w:ascii="Times New Roman" w:hAnsi="Times New Roman"/>
        </w:rPr>
        <w:t xml:space="preserve"> when organizing operationally</w:t>
      </w:r>
      <w:r w:rsidR="00521EE6">
        <w:rPr>
          <w:rFonts w:ascii="Times New Roman" w:hAnsi="Times New Roman"/>
        </w:rPr>
        <w:t xml:space="preserve"> and clinically </w:t>
      </w:r>
      <w:r>
        <w:rPr>
          <w:rFonts w:ascii="Times New Roman" w:hAnsi="Times New Roman"/>
        </w:rPr>
        <w:t xml:space="preserve">successful </w:t>
      </w:r>
      <w:r w:rsidR="00521EE6">
        <w:rPr>
          <w:rFonts w:ascii="Times New Roman" w:hAnsi="Times New Roman"/>
        </w:rPr>
        <w:t>programs</w:t>
      </w:r>
      <w:r>
        <w:rPr>
          <w:rFonts w:ascii="Times New Roman" w:hAnsi="Times New Roman"/>
        </w:rPr>
        <w:t xml:space="preserve">. </w:t>
      </w:r>
    </w:p>
    <w:p w:rsidR="002739FC" w:rsidRDefault="002739FC" w:rsidP="00623972">
      <w:pPr>
        <w:rPr>
          <w:rFonts w:ascii="Times New Roman" w:hAnsi="Times New Roman"/>
        </w:rPr>
      </w:pPr>
    </w:p>
    <w:p w:rsidR="002739FC" w:rsidRPr="00BC25F7" w:rsidRDefault="00BC25F7" w:rsidP="000B30FC">
      <w:pPr>
        <w:widowControl/>
        <w:autoSpaceDE w:val="0"/>
        <w:autoSpaceDN w:val="0"/>
        <w:adjustRightInd w:val="0"/>
        <w:rPr>
          <w:rFonts w:ascii="Times New Roman" w:hAnsi="Times New Roman"/>
          <w:i/>
        </w:rPr>
      </w:pPr>
      <w:r>
        <w:rPr>
          <w:rFonts w:ascii="Times New Roman" w:hAnsi="Times New Roman"/>
          <w:i/>
          <w:u w:val="single"/>
        </w:rPr>
        <w:t xml:space="preserve">Please </w:t>
      </w:r>
      <w:r w:rsidR="002739FC" w:rsidRPr="00BC25F7">
        <w:rPr>
          <w:rFonts w:ascii="Times New Roman" w:hAnsi="Times New Roman"/>
          <w:i/>
          <w:u w:val="single"/>
        </w:rPr>
        <w:t>Note</w:t>
      </w:r>
      <w:r w:rsidR="002739FC">
        <w:rPr>
          <w:rFonts w:ascii="Times New Roman" w:hAnsi="Times New Roman"/>
        </w:rPr>
        <w:t xml:space="preserve">: </w:t>
      </w:r>
      <w:r w:rsidR="00DB1225">
        <w:rPr>
          <w:rFonts w:ascii="Times New Roman" w:hAnsi="Times New Roman"/>
          <w:i/>
        </w:rPr>
        <w:t xml:space="preserve">Because of the controversy and </w:t>
      </w:r>
      <w:r w:rsidR="002739FC" w:rsidRPr="00BC25F7">
        <w:rPr>
          <w:rFonts w:ascii="Times New Roman" w:hAnsi="Times New Roman"/>
          <w:i/>
        </w:rPr>
        <w:t>confusion over some of the components of the 2013 ACC/AHA Cholesterol Guidelines (i</w:t>
      </w:r>
      <w:r w:rsidR="00DB1225">
        <w:rPr>
          <w:rFonts w:ascii="Times New Roman" w:hAnsi="Times New Roman"/>
          <w:i/>
        </w:rPr>
        <w:t>.</w:t>
      </w:r>
      <w:r w:rsidR="002739FC" w:rsidRPr="00BC25F7">
        <w:rPr>
          <w:rFonts w:ascii="Times New Roman" w:hAnsi="Times New Roman"/>
          <w:i/>
        </w:rPr>
        <w:t>e.</w:t>
      </w:r>
      <w:r w:rsidR="00B60077">
        <w:rPr>
          <w:rFonts w:ascii="Times New Roman" w:hAnsi="Times New Roman"/>
          <w:i/>
        </w:rPr>
        <w:t>,</w:t>
      </w:r>
      <w:r w:rsidR="002739FC" w:rsidRPr="00BC25F7">
        <w:rPr>
          <w:rFonts w:ascii="Times New Roman" w:hAnsi="Times New Roman"/>
          <w:i/>
        </w:rPr>
        <w:t xml:space="preserve"> The abandonment of treating to specific lipid and lipoprotein targets, primary focus on four statin benefit groups, and the application of the new 10-year pooled ASCVD risk scoring tool) this document will base most of it’s diagnostic and therapeutic focus on </w:t>
      </w:r>
      <w:r w:rsidR="001F091F">
        <w:rPr>
          <w:rFonts w:ascii="Times New Roman" w:hAnsi="Times New Roman"/>
          <w:i/>
        </w:rPr>
        <w:t>what the author considers to be a more comprehensive and full-</w:t>
      </w:r>
      <w:r w:rsidR="001F091F" w:rsidRPr="001F091F">
        <w:rPr>
          <w:rFonts w:ascii="Times New Roman" w:hAnsi="Times New Roman"/>
          <w:i/>
        </w:rPr>
        <w:t>evidentiary</w:t>
      </w:r>
      <w:r w:rsidR="002739FC" w:rsidRPr="00BC25F7">
        <w:rPr>
          <w:rFonts w:ascii="Times New Roman" w:hAnsi="Times New Roman"/>
          <w:i/>
        </w:rPr>
        <w:t xml:space="preserve">  </w:t>
      </w:r>
      <w:r w:rsidR="002739FC" w:rsidRPr="00BC25F7">
        <w:rPr>
          <w:rFonts w:ascii="Times New Roman" w:hAnsi="Times New Roman"/>
          <w:i/>
        </w:rPr>
        <w:lastRenderedPageBreak/>
        <w:t xml:space="preserve">approach to treating lipid disorders </w:t>
      </w:r>
      <w:r w:rsidR="001F091F">
        <w:rPr>
          <w:rFonts w:ascii="Times New Roman" w:hAnsi="Times New Roman"/>
          <w:i/>
        </w:rPr>
        <w:t xml:space="preserve">as </w:t>
      </w:r>
      <w:r w:rsidR="002739FC" w:rsidRPr="00BC25F7">
        <w:rPr>
          <w:rFonts w:ascii="Times New Roman" w:hAnsi="Times New Roman"/>
          <w:i/>
        </w:rPr>
        <w:t xml:space="preserve">published in the IAS 2013 </w:t>
      </w:r>
      <w:r w:rsidR="001F091F">
        <w:rPr>
          <w:rFonts w:ascii="Times New Roman" w:hAnsi="Times New Roman"/>
          <w:i/>
        </w:rPr>
        <w:t xml:space="preserve">cholesterol guideline </w:t>
      </w:r>
      <w:r w:rsidR="00EB2660">
        <w:rPr>
          <w:rFonts w:ascii="Times New Roman" w:hAnsi="Times New Roman"/>
          <w:i/>
        </w:rPr>
        <w:t>report and the 2014</w:t>
      </w:r>
      <w:r w:rsidR="00B52DBE">
        <w:rPr>
          <w:rFonts w:ascii="Times New Roman" w:hAnsi="Times New Roman"/>
          <w:i/>
        </w:rPr>
        <w:t>-2015</w:t>
      </w:r>
      <w:r w:rsidR="000B30FC">
        <w:rPr>
          <w:rFonts w:ascii="Times New Roman" w:hAnsi="Times New Roman"/>
          <w:i/>
        </w:rPr>
        <w:t xml:space="preserve"> </w:t>
      </w:r>
      <w:r w:rsidR="000B30FC" w:rsidRPr="000B30FC">
        <w:rPr>
          <w:rFonts w:ascii="Times New Roman" w:hAnsi="Times New Roman"/>
          <w:i/>
          <w:snapToGrid/>
          <w:color w:val="010202"/>
          <w:szCs w:val="24"/>
        </w:rPr>
        <w:t>National Lipid Association recommendation</w:t>
      </w:r>
      <w:r w:rsidR="00B52DBE">
        <w:rPr>
          <w:rFonts w:ascii="Times New Roman" w:hAnsi="Times New Roman"/>
          <w:i/>
          <w:snapToGrid/>
          <w:color w:val="010202"/>
          <w:szCs w:val="24"/>
        </w:rPr>
        <w:t>’</w:t>
      </w:r>
      <w:r w:rsidR="000B30FC" w:rsidRPr="000B30FC">
        <w:rPr>
          <w:rFonts w:ascii="Times New Roman" w:hAnsi="Times New Roman"/>
          <w:i/>
          <w:snapToGrid/>
          <w:color w:val="010202"/>
          <w:szCs w:val="24"/>
        </w:rPr>
        <w:t>s for</w:t>
      </w:r>
      <w:r w:rsidR="000B30FC">
        <w:rPr>
          <w:rFonts w:ascii="Times New Roman" w:hAnsi="Times New Roman"/>
          <w:i/>
          <w:snapToGrid/>
          <w:color w:val="010202"/>
          <w:szCs w:val="24"/>
        </w:rPr>
        <w:t xml:space="preserve"> </w:t>
      </w:r>
      <w:r w:rsidR="000B30FC" w:rsidRPr="000B30FC">
        <w:rPr>
          <w:rFonts w:ascii="Times New Roman" w:hAnsi="Times New Roman"/>
          <w:i/>
          <w:snapToGrid/>
          <w:color w:val="010202"/>
          <w:szCs w:val="24"/>
        </w:rPr>
        <w:t>patient-centered management of dyslipidemia</w:t>
      </w:r>
      <w:r w:rsidR="000B30FC">
        <w:rPr>
          <w:rFonts w:ascii="Times New Roman" w:hAnsi="Times New Roman"/>
          <w:i/>
          <w:snapToGrid/>
          <w:color w:val="010202"/>
          <w:szCs w:val="24"/>
        </w:rPr>
        <w:t xml:space="preserve"> Part I and Part II.</w:t>
      </w:r>
    </w:p>
    <w:p w:rsidR="0095257C" w:rsidRPr="00BC25F7" w:rsidRDefault="0095257C" w:rsidP="00623972">
      <w:pPr>
        <w:rPr>
          <w:rFonts w:ascii="Times New Roman" w:hAnsi="Times New Roman"/>
          <w:i/>
        </w:rPr>
      </w:pPr>
    </w:p>
    <w:p w:rsidR="00383DB0" w:rsidRPr="00BC25F7" w:rsidRDefault="00383DB0" w:rsidP="00623972">
      <w:pPr>
        <w:rPr>
          <w:rFonts w:ascii="Times New Roman" w:hAnsi="Times New Roman"/>
          <w:i/>
        </w:rPr>
      </w:pPr>
    </w:p>
    <w:p w:rsidR="0095257C" w:rsidRDefault="0095257C" w:rsidP="0095257C">
      <w:pPr>
        <w:rPr>
          <w:rFonts w:ascii="Times New Roman" w:hAnsi="Times New Roman"/>
          <w:b/>
        </w:rPr>
      </w:pPr>
      <w:r>
        <w:rPr>
          <w:rFonts w:ascii="Times New Roman" w:hAnsi="Times New Roman"/>
          <w:b/>
        </w:rPr>
        <w:t>1</w:t>
      </w:r>
      <w:r w:rsidR="00D475BC">
        <w:rPr>
          <w:rFonts w:ascii="Times New Roman" w:hAnsi="Times New Roman"/>
          <w:b/>
        </w:rPr>
        <w:t>.  Understand</w:t>
      </w:r>
      <w:r w:rsidRPr="002309CB">
        <w:rPr>
          <w:rFonts w:ascii="Times New Roman" w:hAnsi="Times New Roman"/>
          <w:b/>
        </w:rPr>
        <w:t xml:space="preserve"> the </w:t>
      </w:r>
      <w:r w:rsidR="00D475BC">
        <w:rPr>
          <w:rFonts w:ascii="Times New Roman" w:hAnsi="Times New Roman"/>
          <w:b/>
        </w:rPr>
        <w:t>spectrum</w:t>
      </w:r>
      <w:r w:rsidRPr="002309CB">
        <w:rPr>
          <w:rFonts w:ascii="Times New Roman" w:hAnsi="Times New Roman"/>
          <w:b/>
        </w:rPr>
        <w:t xml:space="preserve"> of staff </w:t>
      </w:r>
      <w:r w:rsidR="00D475BC">
        <w:rPr>
          <w:rFonts w:ascii="Times New Roman" w:hAnsi="Times New Roman"/>
          <w:b/>
        </w:rPr>
        <w:t xml:space="preserve">and program delivery </w:t>
      </w:r>
      <w:r w:rsidRPr="002309CB">
        <w:rPr>
          <w:rFonts w:ascii="Times New Roman" w:hAnsi="Times New Roman"/>
          <w:b/>
        </w:rPr>
        <w:t>models</w:t>
      </w:r>
    </w:p>
    <w:p w:rsidR="0095257C" w:rsidRDefault="0095257C" w:rsidP="0095257C">
      <w:pPr>
        <w:rPr>
          <w:rFonts w:ascii="Times New Roman" w:hAnsi="Times New Roman"/>
          <w:b/>
        </w:rPr>
      </w:pPr>
    </w:p>
    <w:p w:rsidR="00E420A2" w:rsidRDefault="0095257C" w:rsidP="0095257C">
      <w:pPr>
        <w:rPr>
          <w:rFonts w:ascii="Times New Roman" w:hAnsi="Times New Roman"/>
        </w:rPr>
      </w:pPr>
      <w:r>
        <w:rPr>
          <w:rFonts w:ascii="Times New Roman" w:hAnsi="Times New Roman"/>
        </w:rPr>
        <w:t xml:space="preserve">The issues and </w:t>
      </w:r>
      <w:r w:rsidR="00E5795D">
        <w:rPr>
          <w:rFonts w:ascii="Times New Roman" w:hAnsi="Times New Roman"/>
        </w:rPr>
        <w:t xml:space="preserve">regulatory </w:t>
      </w:r>
      <w:r>
        <w:rPr>
          <w:rFonts w:ascii="Times New Roman" w:hAnsi="Times New Roman"/>
        </w:rPr>
        <w:t xml:space="preserve">complexities of establishing lipid </w:t>
      </w:r>
      <w:r w:rsidR="00482F81">
        <w:rPr>
          <w:rFonts w:ascii="Times New Roman" w:hAnsi="Times New Roman"/>
        </w:rPr>
        <w:t xml:space="preserve">clinic </w:t>
      </w:r>
      <w:r>
        <w:rPr>
          <w:rFonts w:ascii="Times New Roman" w:hAnsi="Times New Roman"/>
        </w:rPr>
        <w:t>and more comprehensive CMR</w:t>
      </w:r>
      <w:r w:rsidR="00482F81">
        <w:rPr>
          <w:rFonts w:ascii="Times New Roman" w:hAnsi="Times New Roman"/>
        </w:rPr>
        <w:t xml:space="preserve"> programs</w:t>
      </w:r>
      <w:r w:rsidR="00E5795D">
        <w:rPr>
          <w:rFonts w:ascii="Times New Roman" w:hAnsi="Times New Roman"/>
        </w:rPr>
        <w:t xml:space="preserve"> will vary</w:t>
      </w:r>
      <w:r>
        <w:rPr>
          <w:rFonts w:ascii="Times New Roman" w:hAnsi="Times New Roman"/>
        </w:rPr>
        <w:t xml:space="preserve"> </w:t>
      </w:r>
      <w:r w:rsidR="00E5795D">
        <w:rPr>
          <w:rFonts w:ascii="Times New Roman" w:hAnsi="Times New Roman"/>
        </w:rPr>
        <w:t xml:space="preserve">across </w:t>
      </w:r>
      <w:r>
        <w:rPr>
          <w:rFonts w:ascii="Times New Roman" w:hAnsi="Times New Roman"/>
        </w:rPr>
        <w:t>the continuum of health care delivery</w:t>
      </w:r>
      <w:r w:rsidR="00E5795D">
        <w:rPr>
          <w:rFonts w:ascii="Times New Roman" w:hAnsi="Times New Roman"/>
        </w:rPr>
        <w:t xml:space="preserve"> system.  In short</w:t>
      </w:r>
      <w:r>
        <w:rPr>
          <w:rFonts w:ascii="Times New Roman" w:hAnsi="Times New Roman"/>
        </w:rPr>
        <w:t>, staffing, billing/reimbursement, and documentation of services depend on the program delivery model e.g., direct outpatient fee-for-service, government delivered (e.g., DOD, Indian Health Service, etc.),</w:t>
      </w:r>
      <w:r w:rsidR="00FE5AF1">
        <w:rPr>
          <w:rFonts w:ascii="Times New Roman" w:hAnsi="Times New Roman"/>
        </w:rPr>
        <w:t xml:space="preserve"> </w:t>
      </w:r>
      <w:r w:rsidR="00E420A2">
        <w:rPr>
          <w:rFonts w:ascii="Times New Roman" w:hAnsi="Times New Roman"/>
        </w:rPr>
        <w:t>university-based,</w:t>
      </w:r>
      <w:r w:rsidR="00E02AE8">
        <w:rPr>
          <w:rFonts w:ascii="Times New Roman" w:hAnsi="Times New Roman"/>
        </w:rPr>
        <w:t xml:space="preserve"> community clinics, </w:t>
      </w:r>
      <w:r w:rsidR="00C70A24">
        <w:rPr>
          <w:rFonts w:ascii="Times New Roman" w:hAnsi="Times New Roman"/>
        </w:rPr>
        <w:t xml:space="preserve">ACO </w:t>
      </w:r>
      <w:r>
        <w:rPr>
          <w:rFonts w:ascii="Times New Roman" w:hAnsi="Times New Roman"/>
        </w:rPr>
        <w:t xml:space="preserve">and medical home models.  In outpatient office-based fee-for-service settings adherence to </w:t>
      </w:r>
      <w:r w:rsidR="00FE5AF1">
        <w:rPr>
          <w:rFonts w:ascii="Times New Roman" w:hAnsi="Times New Roman"/>
        </w:rPr>
        <w:t xml:space="preserve">current </w:t>
      </w:r>
      <w:r>
        <w:rPr>
          <w:rFonts w:ascii="Times New Roman" w:hAnsi="Times New Roman"/>
        </w:rPr>
        <w:t>federal coding and billing guidelines (e.g., “incident to” regulations) is paramount.  Such regulations can affect the solvency of collaborative care models utilizing several therapeutic disciplines, e.g., dietary,</w:t>
      </w:r>
      <w:r w:rsidR="00E420A2">
        <w:rPr>
          <w:rFonts w:ascii="Times New Roman" w:hAnsi="Times New Roman"/>
        </w:rPr>
        <w:t xml:space="preserve"> pharmacy,</w:t>
      </w:r>
      <w:r>
        <w:rPr>
          <w:rFonts w:ascii="Times New Roman" w:hAnsi="Times New Roman"/>
        </w:rPr>
        <w:t xml:space="preserve"> </w:t>
      </w:r>
      <w:r w:rsidR="00776EF4">
        <w:rPr>
          <w:rFonts w:ascii="Times New Roman" w:hAnsi="Times New Roman"/>
        </w:rPr>
        <w:t xml:space="preserve">clinical </w:t>
      </w:r>
      <w:r>
        <w:rPr>
          <w:rFonts w:ascii="Times New Roman" w:hAnsi="Times New Roman"/>
        </w:rPr>
        <w:t xml:space="preserve">exercise physiology services.  Contracted models of care are less regulated but require judicious attention to staff, laboratory, and therapeutic costs. </w:t>
      </w:r>
      <w:r w:rsidR="00851268">
        <w:rPr>
          <w:rFonts w:ascii="Times New Roman" w:hAnsi="Times New Roman"/>
        </w:rPr>
        <w:t xml:space="preserve">  Another consideration that will dictate the level of billing as well as the delivery of both therapeutic and patient counseling services is the staff model.  </w:t>
      </w:r>
    </w:p>
    <w:p w:rsidR="00E420A2" w:rsidRDefault="00E420A2" w:rsidP="0095257C">
      <w:pPr>
        <w:rPr>
          <w:rFonts w:ascii="Times New Roman" w:hAnsi="Times New Roman"/>
        </w:rPr>
      </w:pPr>
    </w:p>
    <w:p w:rsidR="0095257C" w:rsidRDefault="006006EA" w:rsidP="0095257C">
      <w:pPr>
        <w:rPr>
          <w:rFonts w:ascii="Times New Roman" w:hAnsi="Times New Roman"/>
        </w:rPr>
      </w:pPr>
      <w:r>
        <w:rPr>
          <w:rFonts w:ascii="Times New Roman" w:hAnsi="Times New Roman"/>
        </w:rPr>
        <w:t>Fundamentally</w:t>
      </w:r>
      <w:r w:rsidR="00851268">
        <w:rPr>
          <w:rFonts w:ascii="Times New Roman" w:hAnsi="Times New Roman"/>
        </w:rPr>
        <w:t xml:space="preserve"> – from a fee-for-service billing perspective there are three delivery of services staff models:  physician, nonphysician mid-level practitioner,  and all other nonphysician staff.</w:t>
      </w:r>
      <w:r w:rsidR="0075793E">
        <w:rPr>
          <w:rFonts w:ascii="Times New Roman" w:hAnsi="Times New Roman"/>
        </w:rPr>
        <w:t xml:space="preserve">  </w:t>
      </w:r>
      <w:r w:rsidR="005C7E80">
        <w:rPr>
          <w:rFonts w:ascii="Times New Roman" w:hAnsi="Times New Roman"/>
        </w:rPr>
        <w:t>From</w:t>
      </w:r>
      <w:r w:rsidR="00B67A12">
        <w:rPr>
          <w:rFonts w:ascii="Times New Roman" w:hAnsi="Times New Roman"/>
        </w:rPr>
        <w:t xml:space="preserve"> a contracting perspective non fee-for-service</w:t>
      </w:r>
      <w:r w:rsidR="005C7E80">
        <w:rPr>
          <w:rFonts w:ascii="Times New Roman" w:hAnsi="Times New Roman"/>
        </w:rPr>
        <w:t xml:space="preserve"> lipidologists and clinical lipid specialists will be required to plan and propose select lipid and CMR services to employer, PCMH, ACO organizations, etc.  </w:t>
      </w:r>
      <w:r w:rsidR="00CC09BA">
        <w:rPr>
          <w:rFonts w:ascii="Times New Roman" w:hAnsi="Times New Roman"/>
        </w:rPr>
        <w:t>In recent years there has been a growing interest in an integrated staff model particularly in CMR programs where all program staff are essentially “cross-trained” such that they can proficiently address diagnostic, lifestyle,</w:t>
      </w:r>
      <w:r w:rsidR="00525381">
        <w:rPr>
          <w:rFonts w:ascii="Times New Roman" w:hAnsi="Times New Roman"/>
        </w:rPr>
        <w:t xml:space="preserve"> dyslipidemia,</w:t>
      </w:r>
      <w:r w:rsidR="00CC09BA">
        <w:rPr>
          <w:rFonts w:ascii="Times New Roman" w:hAnsi="Times New Roman"/>
        </w:rPr>
        <w:t xml:space="preserve"> and pharmacotherapeutic intervention (i.e., a cardiometabolic risk reduction practitioner)</w:t>
      </w:r>
      <w:r w:rsidR="00C734BA">
        <w:rPr>
          <w:rFonts w:ascii="Times New Roman" w:hAnsi="Times New Roman"/>
        </w:rPr>
        <w:t xml:space="preserve"> within the scope of a physician-authored and annually reviewed therapeutic care plan</w:t>
      </w:r>
      <w:r w:rsidR="00CC09BA">
        <w:rPr>
          <w:rFonts w:ascii="Times New Roman" w:hAnsi="Times New Roman"/>
        </w:rPr>
        <w:t>.</w:t>
      </w:r>
      <w:r w:rsidR="006274BB">
        <w:rPr>
          <w:rFonts w:ascii="Times New Roman" w:hAnsi="Times New Roman"/>
        </w:rPr>
        <w:t xml:space="preserve">  All of these issues and regulations are addressed more thoroughly in separate documents and educat</w:t>
      </w:r>
      <w:r w:rsidR="00B67A12">
        <w:rPr>
          <w:rFonts w:ascii="Times New Roman" w:hAnsi="Times New Roman"/>
        </w:rPr>
        <w:t xml:space="preserve">ion programs, e.g., NLA’s Lipid Clinic </w:t>
      </w:r>
      <w:r w:rsidR="006274BB">
        <w:rPr>
          <w:rFonts w:ascii="Times New Roman" w:hAnsi="Times New Roman"/>
        </w:rPr>
        <w:t>and Cardiometabolic Risk Operations Course.</w:t>
      </w:r>
    </w:p>
    <w:p w:rsidR="00477F8D" w:rsidRDefault="00477F8D" w:rsidP="0095257C">
      <w:pPr>
        <w:rPr>
          <w:rFonts w:ascii="Times New Roman" w:hAnsi="Times New Roman"/>
        </w:rPr>
      </w:pPr>
    </w:p>
    <w:p w:rsidR="00C14C42" w:rsidRDefault="00477F8D" w:rsidP="00477F8D">
      <w:pPr>
        <w:rPr>
          <w:rStyle w:val="field-content2"/>
          <w:rFonts w:ascii="Times New Roman" w:hAnsi="Times New Roman"/>
          <w:color w:val="000000"/>
          <w:szCs w:val="24"/>
          <w:lang w:val="en"/>
        </w:rPr>
      </w:pPr>
      <w:r w:rsidRPr="00477F8D">
        <w:rPr>
          <w:rFonts w:ascii="Times New Roman" w:hAnsi="Times New Roman"/>
          <w:b/>
        </w:rPr>
        <w:t xml:space="preserve">The issue of </w:t>
      </w:r>
      <w:r w:rsidRPr="00477F8D">
        <w:rPr>
          <w:rFonts w:ascii="Times New Roman" w:hAnsi="Times New Roman"/>
          <w:b/>
          <w:i/>
        </w:rPr>
        <w:t>Concurrent Care</w:t>
      </w:r>
      <w:r>
        <w:rPr>
          <w:rFonts w:ascii="Times New Roman" w:hAnsi="Times New Roman"/>
          <w:b/>
        </w:rPr>
        <w:t xml:space="preserve"> </w:t>
      </w:r>
      <w:r w:rsidR="009C1114" w:rsidRPr="009C1114">
        <w:rPr>
          <w:rFonts w:ascii="Times New Roman" w:hAnsi="Times New Roman"/>
        </w:rPr>
        <w:t>when clinical lipidologists/specialists receive referrals from other physicians.</w:t>
      </w:r>
      <w:r w:rsidRPr="009C1114">
        <w:rPr>
          <w:rFonts w:ascii="Times New Roman" w:eastAsiaTheme="minorEastAsia" w:hAnsi="Times New Roman"/>
          <w:snapToGrid/>
          <w:color w:val="000000" w:themeColor="text1"/>
          <w:kern w:val="24"/>
          <w:sz w:val="48"/>
          <w:szCs w:val="48"/>
        </w:rPr>
        <w:t xml:space="preserve"> </w:t>
      </w:r>
      <w:r w:rsidR="00454838">
        <w:rPr>
          <w:rFonts w:ascii="Times New Roman" w:hAnsi="Times New Roman"/>
        </w:rPr>
        <w:t>The Center for Medicare Services</w:t>
      </w:r>
      <w:r w:rsidRPr="00477F8D">
        <w:rPr>
          <w:rFonts w:ascii="Times New Roman" w:hAnsi="Times New Roman"/>
        </w:rPr>
        <w:t xml:space="preserve"> has certain rules and requirements for physicians to claim that they provided concurrent care for a patient. Both physicians must be actively treating the patient at the same time. The diagnosis must show cause that the patient’s health requi</w:t>
      </w:r>
      <w:r>
        <w:rPr>
          <w:rFonts w:ascii="Times New Roman" w:hAnsi="Times New Roman"/>
        </w:rPr>
        <w:t>red treatment from both physicians</w:t>
      </w:r>
      <w:r w:rsidRPr="00477F8D">
        <w:rPr>
          <w:rFonts w:ascii="Times New Roman" w:hAnsi="Times New Roman"/>
        </w:rPr>
        <w:t xml:space="preserve"> at the same time. Medicare has a policy definition of necessary and reasonable; and the physician</w:t>
      </w:r>
      <w:r w:rsidR="009C1114">
        <w:rPr>
          <w:rFonts w:ascii="Times New Roman" w:hAnsi="Times New Roman"/>
        </w:rPr>
        <w:t>’</w:t>
      </w:r>
      <w:r w:rsidRPr="00477F8D">
        <w:rPr>
          <w:rFonts w:ascii="Times New Roman" w:hAnsi="Times New Roman"/>
        </w:rPr>
        <w:t>s treatments or services must meet this definition. Accurately meeting these requirements allows both doctors to file claims for concurrent care.</w:t>
      </w:r>
      <w:r w:rsidRPr="00477F8D">
        <w:rPr>
          <w:rFonts w:asciiTheme="majorHAnsi" w:eastAsiaTheme="minorEastAsia" w:hAnsi="Corbel" w:cstheme="minorBidi"/>
          <w:b/>
          <w:bCs/>
          <w:snapToGrid/>
          <w:color w:val="FFFF00"/>
          <w:kern w:val="24"/>
          <w:sz w:val="48"/>
          <w:szCs w:val="48"/>
        </w:rPr>
        <w:t xml:space="preserve"> </w:t>
      </w:r>
      <w:r w:rsidRPr="00477F8D">
        <w:rPr>
          <w:rFonts w:ascii="Times New Roman" w:hAnsi="Times New Roman"/>
          <w:bCs/>
        </w:rPr>
        <w:t>That said,</w:t>
      </w:r>
      <w:r w:rsidR="00454838">
        <w:rPr>
          <w:rFonts w:ascii="Times New Roman" w:hAnsi="Times New Roman"/>
          <w:bCs/>
        </w:rPr>
        <w:t xml:space="preserve"> the practice of</w:t>
      </w:r>
      <w:r w:rsidRPr="00477F8D">
        <w:rPr>
          <w:rFonts w:ascii="Times New Roman" w:hAnsi="Times New Roman"/>
          <w:bCs/>
        </w:rPr>
        <w:t xml:space="preserve"> </w:t>
      </w:r>
      <w:r w:rsidRPr="00477F8D">
        <w:rPr>
          <w:rFonts w:ascii="Times New Roman" w:hAnsi="Times New Roman"/>
          <w:bCs/>
          <w:i/>
          <w:iCs/>
        </w:rPr>
        <w:t>clinical lipidology</w:t>
      </w:r>
      <w:r w:rsidR="00454838">
        <w:rPr>
          <w:rFonts w:ascii="Times New Roman" w:hAnsi="Times New Roman"/>
          <w:bCs/>
          <w:i/>
          <w:iCs/>
        </w:rPr>
        <w:t>, i.e., clinical lipidologists,</w:t>
      </w:r>
      <w:r w:rsidRPr="00477F8D">
        <w:rPr>
          <w:rFonts w:ascii="Times New Roman" w:hAnsi="Times New Roman"/>
          <w:bCs/>
          <w:i/>
          <w:iCs/>
        </w:rPr>
        <w:t xml:space="preserve"> </w:t>
      </w:r>
      <w:r w:rsidRPr="00477F8D">
        <w:rPr>
          <w:rFonts w:ascii="Times New Roman" w:hAnsi="Times New Roman"/>
          <w:bCs/>
        </w:rPr>
        <w:t>unfortunately is a relatively new specialty which</w:t>
      </w:r>
      <w:r w:rsidR="00BD4BAA">
        <w:rPr>
          <w:rFonts w:ascii="Times New Roman" w:hAnsi="Times New Roman"/>
          <w:bCs/>
        </w:rPr>
        <w:t xml:space="preserve"> not yet recognized by but</w:t>
      </w:r>
      <w:r w:rsidRPr="00477F8D">
        <w:rPr>
          <w:rFonts w:ascii="Times New Roman" w:hAnsi="Times New Roman"/>
          <w:bCs/>
        </w:rPr>
        <w:t xml:space="preserve"> is</w:t>
      </w:r>
      <w:r w:rsidR="005E660D">
        <w:rPr>
          <w:rFonts w:ascii="Times New Roman" w:hAnsi="Times New Roman"/>
          <w:bCs/>
        </w:rPr>
        <w:t xml:space="preserve"> in the </w:t>
      </w:r>
      <w:r w:rsidR="00BD4BAA">
        <w:rPr>
          <w:rFonts w:ascii="Times New Roman" w:hAnsi="Times New Roman"/>
          <w:bCs/>
        </w:rPr>
        <w:t xml:space="preserve">enduring </w:t>
      </w:r>
      <w:r w:rsidR="005E660D">
        <w:rPr>
          <w:rFonts w:ascii="Times New Roman" w:hAnsi="Times New Roman"/>
          <w:bCs/>
        </w:rPr>
        <w:t>process of attaining recognition</w:t>
      </w:r>
      <w:r w:rsidR="00BD4BAA">
        <w:rPr>
          <w:rFonts w:ascii="Times New Roman" w:hAnsi="Times New Roman"/>
          <w:bCs/>
        </w:rPr>
        <w:t xml:space="preserve"> by the </w:t>
      </w:r>
      <w:r w:rsidR="00BD4BAA" w:rsidRPr="00BD4BAA">
        <w:rPr>
          <w:rStyle w:val="field-content2"/>
          <w:rFonts w:ascii="Times New Roman" w:hAnsi="Times New Roman"/>
          <w:color w:val="000000"/>
          <w:szCs w:val="24"/>
          <w:lang w:val="en"/>
        </w:rPr>
        <w:t>American Board of Medical Specialties</w:t>
      </w:r>
      <w:r w:rsidR="00BD4BAA">
        <w:rPr>
          <w:rStyle w:val="field-content2"/>
          <w:rFonts w:ascii="Times New Roman" w:hAnsi="Times New Roman"/>
          <w:color w:val="000000"/>
          <w:szCs w:val="24"/>
          <w:lang w:val="en"/>
        </w:rPr>
        <w:t>.</w:t>
      </w:r>
      <w:r w:rsidR="002542BF">
        <w:rPr>
          <w:rStyle w:val="field-content2"/>
          <w:rFonts w:ascii="Times New Roman" w:hAnsi="Times New Roman"/>
          <w:color w:val="000000"/>
          <w:szCs w:val="24"/>
          <w:lang w:val="en"/>
        </w:rPr>
        <w:t xml:space="preserve"> There are also variations in</w:t>
      </w:r>
      <w:r w:rsidR="00DD28BB">
        <w:rPr>
          <w:rStyle w:val="field-content2"/>
          <w:rFonts w:ascii="Times New Roman" w:hAnsi="Times New Roman"/>
          <w:color w:val="000000"/>
          <w:szCs w:val="24"/>
          <w:lang w:val="en"/>
        </w:rPr>
        <w:t xml:space="preserve"> insurer and</w:t>
      </w:r>
      <w:r w:rsidR="002542BF">
        <w:rPr>
          <w:rStyle w:val="field-content2"/>
          <w:rFonts w:ascii="Times New Roman" w:hAnsi="Times New Roman"/>
          <w:color w:val="000000"/>
          <w:szCs w:val="24"/>
          <w:lang w:val="en"/>
        </w:rPr>
        <w:t xml:space="preserve"> </w:t>
      </w:r>
      <w:r w:rsidR="00DD28BB">
        <w:rPr>
          <w:rStyle w:val="field-content2"/>
          <w:rFonts w:ascii="Times New Roman" w:hAnsi="Times New Roman"/>
          <w:color w:val="000000"/>
          <w:szCs w:val="24"/>
          <w:lang w:val="en"/>
        </w:rPr>
        <w:t xml:space="preserve">each </w:t>
      </w:r>
      <w:r w:rsidR="002542BF">
        <w:rPr>
          <w:rStyle w:val="field-content2"/>
          <w:rFonts w:ascii="Times New Roman" w:hAnsi="Times New Roman"/>
          <w:color w:val="000000"/>
          <w:szCs w:val="24"/>
          <w:lang w:val="en"/>
        </w:rPr>
        <w:t>state’s view on the necessity of ABCL</w:t>
      </w:r>
      <w:r w:rsidR="003E517D">
        <w:rPr>
          <w:rStyle w:val="field-content2"/>
          <w:rFonts w:ascii="Times New Roman" w:hAnsi="Times New Roman"/>
          <w:color w:val="000000"/>
          <w:szCs w:val="24"/>
          <w:lang w:val="en"/>
        </w:rPr>
        <w:t>-</w:t>
      </w:r>
      <w:r w:rsidR="002542BF">
        <w:rPr>
          <w:rStyle w:val="field-content2"/>
          <w:rFonts w:ascii="Times New Roman" w:hAnsi="Times New Roman"/>
          <w:color w:val="000000"/>
          <w:szCs w:val="24"/>
          <w:lang w:val="en"/>
        </w:rPr>
        <w:t xml:space="preserve">certified clinical lipidologists in concurrent care.  </w:t>
      </w:r>
    </w:p>
    <w:p w:rsidR="00C14C42" w:rsidRDefault="00C14C42" w:rsidP="00477F8D">
      <w:pPr>
        <w:rPr>
          <w:rStyle w:val="field-content2"/>
          <w:rFonts w:ascii="Times New Roman" w:hAnsi="Times New Roman"/>
          <w:color w:val="000000"/>
          <w:szCs w:val="24"/>
          <w:lang w:val="en"/>
        </w:rPr>
      </w:pPr>
    </w:p>
    <w:p w:rsidR="00477F8D" w:rsidRPr="00477F8D" w:rsidRDefault="00624E3D" w:rsidP="00477F8D">
      <w:pPr>
        <w:rPr>
          <w:rFonts w:ascii="Times New Roman" w:hAnsi="Times New Roman"/>
          <w:bCs/>
        </w:rPr>
      </w:pPr>
      <w:r>
        <w:rPr>
          <w:rStyle w:val="field-content2"/>
          <w:rFonts w:ascii="Times New Roman" w:hAnsi="Times New Roman"/>
          <w:color w:val="000000"/>
          <w:szCs w:val="24"/>
          <w:lang w:val="en"/>
        </w:rPr>
        <w:t>From the</w:t>
      </w:r>
      <w:r w:rsidR="00C14C42">
        <w:rPr>
          <w:rStyle w:val="field-content2"/>
          <w:rFonts w:ascii="Times New Roman" w:hAnsi="Times New Roman"/>
          <w:color w:val="000000"/>
          <w:szCs w:val="24"/>
          <w:lang w:val="en"/>
        </w:rPr>
        <w:t xml:space="preserve"> federal perspective, i.e., Medicare, i</w:t>
      </w:r>
      <w:r w:rsidR="00477F8D" w:rsidRPr="00477F8D">
        <w:rPr>
          <w:rFonts w:ascii="Times New Roman" w:hAnsi="Times New Roman"/>
          <w:bCs/>
        </w:rPr>
        <w:t xml:space="preserve">n order to determine whether concurrent physicians’ services are reasonable and necessary, the carrier must decide the following: </w:t>
      </w:r>
    </w:p>
    <w:p w:rsidR="00477F8D" w:rsidRPr="00477F8D" w:rsidRDefault="00477F8D" w:rsidP="00477F8D">
      <w:pPr>
        <w:rPr>
          <w:rFonts w:ascii="Times New Roman" w:hAnsi="Times New Roman"/>
          <w:bCs/>
        </w:rPr>
      </w:pPr>
      <w:r w:rsidRPr="00477F8D">
        <w:rPr>
          <w:rFonts w:ascii="Times New Roman" w:hAnsi="Times New Roman"/>
          <w:bCs/>
        </w:rPr>
        <w:lastRenderedPageBreak/>
        <w:t> </w:t>
      </w:r>
    </w:p>
    <w:p w:rsidR="00575076" w:rsidRDefault="00F31AB7" w:rsidP="00477F8D">
      <w:pPr>
        <w:numPr>
          <w:ilvl w:val="0"/>
          <w:numId w:val="38"/>
        </w:numPr>
        <w:rPr>
          <w:rFonts w:ascii="Times New Roman" w:hAnsi="Times New Roman"/>
          <w:bCs/>
        </w:rPr>
      </w:pPr>
      <w:r w:rsidRPr="00477F8D">
        <w:rPr>
          <w:rFonts w:ascii="Times New Roman" w:hAnsi="Times New Roman"/>
          <w:bCs/>
        </w:rPr>
        <w:t xml:space="preserve">Whether the patient’s condition warrants the services of more than one physician on an attending (rather than consultative) basis, and </w:t>
      </w:r>
    </w:p>
    <w:p w:rsidR="00477F8D" w:rsidRPr="00477F8D" w:rsidRDefault="00477F8D" w:rsidP="00477F8D">
      <w:pPr>
        <w:ind w:left="720"/>
        <w:rPr>
          <w:rFonts w:ascii="Times New Roman" w:hAnsi="Times New Roman"/>
          <w:bCs/>
        </w:rPr>
      </w:pPr>
    </w:p>
    <w:p w:rsidR="00575076" w:rsidRPr="00477F8D" w:rsidRDefault="00F31AB7" w:rsidP="00477F8D">
      <w:pPr>
        <w:numPr>
          <w:ilvl w:val="0"/>
          <w:numId w:val="38"/>
        </w:numPr>
        <w:rPr>
          <w:rFonts w:ascii="Times New Roman" w:hAnsi="Times New Roman"/>
          <w:bCs/>
        </w:rPr>
      </w:pPr>
      <w:r w:rsidRPr="00477F8D">
        <w:rPr>
          <w:rFonts w:ascii="Times New Roman" w:hAnsi="Times New Roman"/>
          <w:bCs/>
        </w:rPr>
        <w:t xml:space="preserve">Whether the individual services provided by each physician are reasonable and necessary. </w:t>
      </w:r>
    </w:p>
    <w:p w:rsidR="00477F8D" w:rsidRPr="00477F8D" w:rsidRDefault="00477F8D" w:rsidP="00477F8D">
      <w:pPr>
        <w:rPr>
          <w:rFonts w:ascii="Times New Roman" w:hAnsi="Times New Roman"/>
        </w:rPr>
      </w:pPr>
    </w:p>
    <w:p w:rsidR="0095257C" w:rsidRDefault="0095257C" w:rsidP="00623972">
      <w:pPr>
        <w:rPr>
          <w:rFonts w:ascii="Times New Roman" w:hAnsi="Times New Roman"/>
        </w:rPr>
      </w:pPr>
    </w:p>
    <w:p w:rsidR="00154701" w:rsidRDefault="00482F81" w:rsidP="00623972">
      <w:pPr>
        <w:rPr>
          <w:rFonts w:ascii="Times New Roman" w:hAnsi="Times New Roman"/>
        </w:rPr>
      </w:pPr>
      <w:r>
        <w:rPr>
          <w:rFonts w:ascii="Times New Roman" w:hAnsi="Times New Roman"/>
          <w:b/>
        </w:rPr>
        <w:t>2</w:t>
      </w:r>
      <w:r w:rsidR="00623972" w:rsidRPr="00623972">
        <w:rPr>
          <w:rFonts w:ascii="Times New Roman" w:hAnsi="Times New Roman"/>
          <w:b/>
        </w:rPr>
        <w:t>.</w:t>
      </w:r>
      <w:r w:rsidR="00623972">
        <w:rPr>
          <w:rFonts w:ascii="Times New Roman" w:hAnsi="Times New Roman"/>
        </w:rPr>
        <w:t xml:space="preserve">  </w:t>
      </w:r>
      <w:r w:rsidR="00355A12">
        <w:rPr>
          <w:rFonts w:ascii="Times New Roman" w:hAnsi="Times New Roman"/>
          <w:b/>
        </w:rPr>
        <w:t>Lipid Clinic</w:t>
      </w:r>
      <w:r w:rsidR="006F0A33">
        <w:rPr>
          <w:rFonts w:ascii="Times New Roman" w:hAnsi="Times New Roman"/>
          <w:b/>
        </w:rPr>
        <w:t xml:space="preserve"> Program Service</w:t>
      </w:r>
      <w:r w:rsidR="00355A12">
        <w:rPr>
          <w:rFonts w:ascii="Times New Roman" w:hAnsi="Times New Roman"/>
          <w:b/>
        </w:rPr>
        <w:t xml:space="preserve">:  </w:t>
      </w:r>
      <w:r w:rsidR="00154701" w:rsidRPr="008B08A1">
        <w:rPr>
          <w:rFonts w:ascii="Times New Roman" w:hAnsi="Times New Roman"/>
          <w:b/>
        </w:rPr>
        <w:t>Clarify the level of lipid clinic service that you intend to offer</w:t>
      </w:r>
      <w:r w:rsidR="00154701">
        <w:rPr>
          <w:rFonts w:ascii="Times New Roman" w:hAnsi="Times New Roman"/>
        </w:rPr>
        <w:t xml:space="preserve">.  </w:t>
      </w:r>
    </w:p>
    <w:p w:rsidR="00154701" w:rsidRDefault="00154701">
      <w:pPr>
        <w:rPr>
          <w:rFonts w:ascii="Times New Roman" w:hAnsi="Times New Roman"/>
        </w:rPr>
      </w:pPr>
    </w:p>
    <w:p w:rsidR="00DF4EF7" w:rsidRDefault="00DF4EF7">
      <w:pPr>
        <w:rPr>
          <w:rFonts w:ascii="Times New Roman" w:hAnsi="Times New Roman"/>
        </w:rPr>
      </w:pPr>
      <w:r>
        <w:rPr>
          <w:rFonts w:ascii="Times New Roman" w:hAnsi="Times New Roman"/>
        </w:rPr>
        <w:t xml:space="preserve">All lipid </w:t>
      </w:r>
      <w:r w:rsidR="008B7050">
        <w:rPr>
          <w:rFonts w:ascii="Times New Roman" w:hAnsi="Times New Roman"/>
        </w:rPr>
        <w:t>clinics</w:t>
      </w:r>
      <w:r>
        <w:rPr>
          <w:rFonts w:ascii="Times New Roman" w:hAnsi="Times New Roman"/>
        </w:rPr>
        <w:t xml:space="preserve"> share common features particularly a dedicated staff and appointment schedule fo</w:t>
      </w:r>
      <w:r w:rsidR="002E3422">
        <w:rPr>
          <w:rFonts w:ascii="Times New Roman" w:hAnsi="Times New Roman"/>
        </w:rPr>
        <w:t>r dyslipidemic patients (Figure</w:t>
      </w:r>
      <w:r>
        <w:rPr>
          <w:rFonts w:ascii="Times New Roman" w:hAnsi="Times New Roman"/>
        </w:rPr>
        <w:t>).</w:t>
      </w:r>
    </w:p>
    <w:p w:rsidR="00DF4EF7" w:rsidRDefault="00DF4EF7">
      <w:pPr>
        <w:rPr>
          <w:rFonts w:ascii="Times New Roman" w:hAnsi="Times New Roman"/>
        </w:rPr>
      </w:pPr>
    </w:p>
    <w:p w:rsidR="007A04FC" w:rsidRDefault="00154701">
      <w:pPr>
        <w:rPr>
          <w:rFonts w:ascii="Times New Roman" w:hAnsi="Times New Roman"/>
        </w:rPr>
      </w:pPr>
      <w:r>
        <w:rPr>
          <w:rFonts w:ascii="Times New Roman" w:hAnsi="Times New Roman"/>
        </w:rPr>
        <w:t>Es</w:t>
      </w:r>
      <w:r w:rsidR="008D1A70">
        <w:rPr>
          <w:rFonts w:ascii="Times New Roman" w:hAnsi="Times New Roman"/>
        </w:rPr>
        <w:t xml:space="preserve">sentially there are two </w:t>
      </w:r>
      <w:r>
        <w:rPr>
          <w:rFonts w:ascii="Times New Roman" w:hAnsi="Times New Roman"/>
        </w:rPr>
        <w:t xml:space="preserve">levels of dyslipidemia management service:  The first is </w:t>
      </w:r>
      <w:r>
        <w:rPr>
          <w:rFonts w:ascii="Times New Roman" w:hAnsi="Times New Roman"/>
          <w:i/>
        </w:rPr>
        <w:t>Practice Dyslipidemia Management</w:t>
      </w:r>
      <w:r w:rsidR="008D1A70">
        <w:rPr>
          <w:rFonts w:ascii="Times New Roman" w:hAnsi="Times New Roman"/>
        </w:rPr>
        <w:t xml:space="preserve"> where a provider or all providers in a group practice ha</w:t>
      </w:r>
      <w:r w:rsidR="007A3120">
        <w:rPr>
          <w:rFonts w:ascii="Times New Roman" w:hAnsi="Times New Roman"/>
        </w:rPr>
        <w:t>ve</w:t>
      </w:r>
      <w:r>
        <w:rPr>
          <w:rFonts w:ascii="Times New Roman" w:hAnsi="Times New Roman"/>
        </w:rPr>
        <w:t xml:space="preserve"> a working knowledge of and adherence to the most recent </w:t>
      </w:r>
      <w:r w:rsidR="003412B3">
        <w:rPr>
          <w:rFonts w:ascii="Times New Roman" w:hAnsi="Times New Roman"/>
        </w:rPr>
        <w:t xml:space="preserve">NLA and </w:t>
      </w:r>
      <w:r w:rsidR="002739FC">
        <w:rPr>
          <w:rFonts w:ascii="Times New Roman" w:hAnsi="Times New Roman"/>
        </w:rPr>
        <w:t xml:space="preserve">IAS </w:t>
      </w:r>
      <w:r w:rsidR="003412B3">
        <w:rPr>
          <w:rFonts w:ascii="Times New Roman" w:hAnsi="Times New Roman"/>
        </w:rPr>
        <w:t xml:space="preserve">dyslipidemia recommendations </w:t>
      </w:r>
      <w:r w:rsidR="002739FC">
        <w:rPr>
          <w:rFonts w:ascii="Times New Roman" w:hAnsi="Times New Roman"/>
        </w:rPr>
        <w:t xml:space="preserve">and </w:t>
      </w:r>
      <w:r w:rsidR="003412B3">
        <w:rPr>
          <w:rFonts w:ascii="Times New Roman" w:hAnsi="Times New Roman"/>
        </w:rPr>
        <w:t xml:space="preserve">at least a basic understanding of the </w:t>
      </w:r>
      <w:r w:rsidR="002739FC">
        <w:rPr>
          <w:rFonts w:ascii="Times New Roman" w:hAnsi="Times New Roman"/>
        </w:rPr>
        <w:t>ACC/AHA</w:t>
      </w:r>
      <w:r w:rsidR="008D1A70">
        <w:rPr>
          <w:rFonts w:ascii="Times New Roman" w:hAnsi="Times New Roman"/>
        </w:rPr>
        <w:t xml:space="preserve"> </w:t>
      </w:r>
      <w:r>
        <w:rPr>
          <w:rFonts w:ascii="Times New Roman" w:hAnsi="Times New Roman"/>
        </w:rPr>
        <w:t>guidelines</w:t>
      </w:r>
      <w:r w:rsidR="003412B3">
        <w:rPr>
          <w:rFonts w:ascii="Times New Roman" w:hAnsi="Times New Roman"/>
        </w:rPr>
        <w:t>. These providers should be</w:t>
      </w:r>
      <w:r>
        <w:rPr>
          <w:rFonts w:ascii="Times New Roman" w:hAnsi="Times New Roman"/>
        </w:rPr>
        <w:t xml:space="preserve"> equally proficient at diagnosing and ma</w:t>
      </w:r>
      <w:r w:rsidR="007A3120">
        <w:rPr>
          <w:rFonts w:ascii="Times New Roman" w:hAnsi="Times New Roman"/>
        </w:rPr>
        <w:t>naging dyslipidemia with therape</w:t>
      </w:r>
      <w:r>
        <w:rPr>
          <w:rFonts w:ascii="Times New Roman" w:hAnsi="Times New Roman"/>
        </w:rPr>
        <w:t>utic lifestyle changes and both straight-forward mono- and combination therapy</w:t>
      </w:r>
      <w:r w:rsidR="00413E50">
        <w:rPr>
          <w:rFonts w:ascii="Times New Roman" w:hAnsi="Times New Roman"/>
        </w:rPr>
        <w:t xml:space="preserve"> when necessary</w:t>
      </w:r>
      <w:r>
        <w:rPr>
          <w:rFonts w:ascii="Times New Roman" w:hAnsi="Times New Roman"/>
        </w:rPr>
        <w:t xml:space="preserve">.   The second level is a </w:t>
      </w:r>
      <w:r>
        <w:rPr>
          <w:rFonts w:ascii="Times New Roman" w:hAnsi="Times New Roman"/>
          <w:i/>
        </w:rPr>
        <w:t>Lipid Clinic Service</w:t>
      </w:r>
      <w:r>
        <w:rPr>
          <w:rFonts w:ascii="Times New Roman" w:hAnsi="Times New Roman"/>
        </w:rPr>
        <w:t xml:space="preserve"> that is designed to employ more </w:t>
      </w:r>
      <w:r w:rsidR="008D1A70">
        <w:rPr>
          <w:rFonts w:ascii="Times New Roman" w:hAnsi="Times New Roman"/>
        </w:rPr>
        <w:t xml:space="preserve">focused and </w:t>
      </w:r>
      <w:r>
        <w:rPr>
          <w:rFonts w:ascii="Times New Roman" w:hAnsi="Times New Roman"/>
        </w:rPr>
        <w:t xml:space="preserve">systematic measures to treat patients with dyslipidemia particularly more complex dyslipidemias/dyslipoproteinemias.  A lipid clinic service can be further categorized into a </w:t>
      </w:r>
      <w:r w:rsidRPr="008B7149">
        <w:rPr>
          <w:rFonts w:ascii="Times New Roman" w:hAnsi="Times New Roman"/>
          <w:i/>
        </w:rPr>
        <w:t>general lipid clinic service</w:t>
      </w:r>
      <w:r w:rsidR="007B1CFC">
        <w:rPr>
          <w:rFonts w:ascii="Times New Roman" w:hAnsi="Times New Roman"/>
          <w:i/>
        </w:rPr>
        <w:t xml:space="preserve"> (level 1)</w:t>
      </w:r>
      <w:r>
        <w:rPr>
          <w:rFonts w:ascii="Times New Roman" w:hAnsi="Times New Roman"/>
        </w:rPr>
        <w:t xml:space="preserve"> or a</w:t>
      </w:r>
      <w:r w:rsidRPr="008B7149">
        <w:rPr>
          <w:rFonts w:ascii="Times New Roman" w:hAnsi="Times New Roman"/>
          <w:i/>
        </w:rPr>
        <w:t xml:space="preserve"> lipid clinic service</w:t>
      </w:r>
      <w:r w:rsidR="007B1CFC">
        <w:rPr>
          <w:rFonts w:ascii="Times New Roman" w:hAnsi="Times New Roman"/>
          <w:i/>
        </w:rPr>
        <w:t xml:space="preserve"> (level 2).  </w:t>
      </w:r>
      <w:r w:rsidR="00C065A4" w:rsidRPr="00C065A4">
        <w:rPr>
          <w:rFonts w:ascii="Times New Roman" w:hAnsi="Times New Roman"/>
        </w:rPr>
        <w:t>A l</w:t>
      </w:r>
      <w:r w:rsidR="007B1CFC" w:rsidRPr="00C065A4">
        <w:rPr>
          <w:rFonts w:ascii="Times New Roman" w:hAnsi="Times New Roman"/>
        </w:rPr>
        <w:t>evel</w:t>
      </w:r>
      <w:r w:rsidR="007B1CFC" w:rsidRPr="007B1CFC">
        <w:rPr>
          <w:rFonts w:ascii="Times New Roman" w:hAnsi="Times New Roman"/>
        </w:rPr>
        <w:t xml:space="preserve"> 1 service specifically assesses all patients with generalized dyslipidemia</w:t>
      </w:r>
      <w:r w:rsidR="009D1256">
        <w:rPr>
          <w:rFonts w:ascii="Times New Roman" w:hAnsi="Times New Roman"/>
        </w:rPr>
        <w:t xml:space="preserve"> requiring relatively simple straight-forward therapy (e.g., diet and statin)</w:t>
      </w:r>
      <w:r w:rsidR="00FD4BF6">
        <w:rPr>
          <w:rFonts w:ascii="Times New Roman" w:hAnsi="Times New Roman"/>
        </w:rPr>
        <w:t>, several levels of complex dyslipidemia</w:t>
      </w:r>
      <w:r w:rsidR="008B7050">
        <w:rPr>
          <w:rFonts w:ascii="Times New Roman" w:hAnsi="Times New Roman"/>
        </w:rPr>
        <w:t xml:space="preserve">, </w:t>
      </w:r>
      <w:r w:rsidR="009D1256">
        <w:rPr>
          <w:rFonts w:ascii="Times New Roman" w:hAnsi="Times New Roman"/>
        </w:rPr>
        <w:t>and</w:t>
      </w:r>
      <w:r w:rsidR="007B1CFC" w:rsidRPr="007B1CFC">
        <w:rPr>
          <w:rFonts w:ascii="Times New Roman" w:hAnsi="Times New Roman"/>
        </w:rPr>
        <w:t xml:space="preserve"> treats </w:t>
      </w:r>
      <w:r w:rsidR="005E23F0">
        <w:rPr>
          <w:rFonts w:ascii="Times New Roman" w:hAnsi="Times New Roman"/>
        </w:rPr>
        <w:t xml:space="preserve">to target lipid and lipoprotein </w:t>
      </w:r>
      <w:r w:rsidR="007B1CFC" w:rsidRPr="007B1CFC">
        <w:rPr>
          <w:rFonts w:ascii="Times New Roman" w:hAnsi="Times New Roman"/>
        </w:rPr>
        <w:t>goals.  Level 2 program</w:t>
      </w:r>
      <w:r w:rsidR="009D1256">
        <w:rPr>
          <w:rFonts w:ascii="Times New Roman" w:hAnsi="Times New Roman"/>
        </w:rPr>
        <w:t>s</w:t>
      </w:r>
      <w:r w:rsidR="005E23F0">
        <w:rPr>
          <w:rFonts w:ascii="Times New Roman" w:hAnsi="Times New Roman"/>
        </w:rPr>
        <w:t xml:space="preserve"> are referral programs and</w:t>
      </w:r>
      <w:r w:rsidR="008B7050">
        <w:rPr>
          <w:rFonts w:ascii="Times New Roman" w:hAnsi="Times New Roman"/>
        </w:rPr>
        <w:t xml:space="preserve"> almost exclusively </w:t>
      </w:r>
      <w:r w:rsidR="00D51A69">
        <w:rPr>
          <w:rFonts w:ascii="Times New Roman" w:hAnsi="Times New Roman"/>
        </w:rPr>
        <w:t xml:space="preserve">focus on </w:t>
      </w:r>
      <w:r>
        <w:rPr>
          <w:rFonts w:ascii="Times New Roman" w:hAnsi="Times New Roman"/>
        </w:rPr>
        <w:t>difficult or complex cases</w:t>
      </w:r>
      <w:r w:rsidR="00F82EA4">
        <w:rPr>
          <w:rFonts w:ascii="Times New Roman" w:hAnsi="Times New Roman"/>
        </w:rPr>
        <w:t xml:space="preserve"> and most frequently are </w:t>
      </w:r>
      <w:r w:rsidR="001F2ABB">
        <w:rPr>
          <w:rFonts w:ascii="Times New Roman" w:hAnsi="Times New Roman"/>
        </w:rPr>
        <w:t xml:space="preserve">local </w:t>
      </w:r>
      <w:r w:rsidR="00394106">
        <w:rPr>
          <w:rFonts w:ascii="Times New Roman" w:hAnsi="Times New Roman"/>
        </w:rPr>
        <w:t xml:space="preserve">area if not regional </w:t>
      </w:r>
      <w:r w:rsidR="00F82EA4">
        <w:rPr>
          <w:rFonts w:ascii="Times New Roman" w:hAnsi="Times New Roman"/>
        </w:rPr>
        <w:t>referral centers</w:t>
      </w:r>
      <w:r>
        <w:rPr>
          <w:rFonts w:ascii="Times New Roman" w:hAnsi="Times New Roman"/>
        </w:rPr>
        <w:t>.   Complex lipid disorders most often require a higher level of diagnostic and therapeutic skill and proficiency at utilization of more advance lipoprotein</w:t>
      </w:r>
      <w:r w:rsidR="00580DED">
        <w:rPr>
          <w:rFonts w:ascii="Times New Roman" w:hAnsi="Times New Roman"/>
        </w:rPr>
        <w:t>/biomarker</w:t>
      </w:r>
      <w:r>
        <w:rPr>
          <w:rFonts w:ascii="Times New Roman" w:hAnsi="Times New Roman"/>
        </w:rPr>
        <w:t xml:space="preserve"> tests.  </w:t>
      </w:r>
      <w:r w:rsidR="004575BD">
        <w:rPr>
          <w:rFonts w:ascii="Times New Roman" w:hAnsi="Times New Roman"/>
        </w:rPr>
        <w:t>T</w:t>
      </w:r>
      <w:r>
        <w:rPr>
          <w:rFonts w:ascii="Times New Roman" w:hAnsi="Times New Roman"/>
        </w:rPr>
        <w:t xml:space="preserve">he knowledge and diagnostic skill level required of a lipid clinic practitioner is considerably more specialized especially when working with more complex dyslipidemias.  </w:t>
      </w:r>
      <w:r w:rsidR="006D68DB">
        <w:rPr>
          <w:rFonts w:ascii="Times New Roman" w:hAnsi="Times New Roman"/>
        </w:rPr>
        <w:t xml:space="preserve">Additionally, drug (e.g. statin) intolerance assessment and management is a new feature that either level of lipid service can offer and should be an attractive service to local providers. </w:t>
      </w:r>
      <w:r>
        <w:rPr>
          <w:rFonts w:ascii="Times New Roman" w:hAnsi="Times New Roman"/>
        </w:rPr>
        <w:t xml:space="preserve"> </w:t>
      </w:r>
    </w:p>
    <w:p w:rsidR="007A04FC" w:rsidRDefault="007A04FC">
      <w:pPr>
        <w:rPr>
          <w:rFonts w:ascii="Times New Roman" w:hAnsi="Times New Roman"/>
        </w:rPr>
      </w:pPr>
    </w:p>
    <w:p w:rsidR="009C0813" w:rsidRDefault="00154701">
      <w:pPr>
        <w:rPr>
          <w:rFonts w:ascii="Times New Roman" w:hAnsi="Times New Roman"/>
        </w:rPr>
      </w:pPr>
      <w:r>
        <w:rPr>
          <w:rFonts w:ascii="Times New Roman" w:hAnsi="Times New Roman"/>
        </w:rPr>
        <w:t xml:space="preserve">One </w:t>
      </w:r>
      <w:r w:rsidR="00121565">
        <w:rPr>
          <w:rFonts w:ascii="Times New Roman" w:hAnsi="Times New Roman"/>
        </w:rPr>
        <w:t>opportunity for those who aspire</w:t>
      </w:r>
      <w:r>
        <w:rPr>
          <w:rFonts w:ascii="Times New Roman" w:hAnsi="Times New Roman"/>
        </w:rPr>
        <w:t xml:space="preserve"> to be medical directors of </w:t>
      </w:r>
      <w:r w:rsidR="007A3E45">
        <w:rPr>
          <w:rFonts w:ascii="Times New Roman" w:hAnsi="Times New Roman"/>
        </w:rPr>
        <w:t xml:space="preserve"> lipid clinic programs</w:t>
      </w:r>
      <w:r w:rsidR="003705B7">
        <w:rPr>
          <w:rFonts w:ascii="Times New Roman" w:hAnsi="Times New Roman"/>
        </w:rPr>
        <w:t xml:space="preserve"> is </w:t>
      </w:r>
      <w:r>
        <w:rPr>
          <w:rFonts w:ascii="Times New Roman" w:hAnsi="Times New Roman"/>
        </w:rPr>
        <w:t xml:space="preserve">certification in </w:t>
      </w:r>
      <w:r w:rsidR="00526DB0">
        <w:rPr>
          <w:rFonts w:ascii="Times New Roman" w:hAnsi="Times New Roman"/>
        </w:rPr>
        <w:t xml:space="preserve">clinical </w:t>
      </w:r>
      <w:r>
        <w:rPr>
          <w:rFonts w:ascii="Times New Roman" w:hAnsi="Times New Roman"/>
        </w:rPr>
        <w:t xml:space="preserve">lipidology.  The National Lipid Association </w:t>
      </w:r>
      <w:r w:rsidR="004A1B05">
        <w:rPr>
          <w:rFonts w:ascii="Times New Roman" w:hAnsi="Times New Roman"/>
        </w:rPr>
        <w:t>offers</w:t>
      </w:r>
      <w:r>
        <w:rPr>
          <w:rFonts w:ascii="Times New Roman" w:hAnsi="Times New Roman"/>
        </w:rPr>
        <w:t xml:space="preserve"> credentialing and board certification of </w:t>
      </w:r>
      <w:r w:rsidR="004A1B05">
        <w:rPr>
          <w:rFonts w:ascii="Times New Roman" w:hAnsi="Times New Roman"/>
        </w:rPr>
        <w:t xml:space="preserve">clinical </w:t>
      </w:r>
      <w:r>
        <w:rPr>
          <w:rFonts w:ascii="Times New Roman" w:hAnsi="Times New Roman"/>
        </w:rPr>
        <w:t xml:space="preserve">lipidologists through the American Board for the Certification of Lipid Specialists (ABCLS) (see NLA website: </w:t>
      </w:r>
      <w:hyperlink r:id="rId7" w:history="1">
        <w:r w:rsidR="00F86AD6" w:rsidRPr="00A96633">
          <w:rPr>
            <w:rStyle w:val="Hyperlink"/>
            <w:rFonts w:ascii="Times New Roman" w:hAnsi="Times New Roman"/>
          </w:rPr>
          <w:t>www.lipid.org</w:t>
        </w:r>
      </w:hyperlink>
      <w:r w:rsidR="00F86AD6">
        <w:rPr>
          <w:rFonts w:ascii="Times New Roman" w:hAnsi="Times New Roman"/>
        </w:rPr>
        <w:t xml:space="preserve"> and lipidboard.org</w:t>
      </w:r>
      <w:r>
        <w:rPr>
          <w:rFonts w:ascii="Times New Roman" w:hAnsi="Times New Roman"/>
        </w:rPr>
        <w:t xml:space="preserve">).  Preparation for board certification can also be provided by the NLA’s Self Assessment Program </w:t>
      </w:r>
      <w:r w:rsidR="008B7149">
        <w:rPr>
          <w:rFonts w:ascii="Times New Roman" w:hAnsi="Times New Roman"/>
        </w:rPr>
        <w:t xml:space="preserve">and Masters </w:t>
      </w:r>
      <w:r w:rsidR="004A1B05">
        <w:rPr>
          <w:rFonts w:ascii="Times New Roman" w:hAnsi="Times New Roman"/>
        </w:rPr>
        <w:t>in Lipidology board review course</w:t>
      </w:r>
      <w:r>
        <w:rPr>
          <w:rFonts w:ascii="Times New Roman" w:hAnsi="Times New Roman"/>
        </w:rPr>
        <w:t>.</w:t>
      </w:r>
      <w:r w:rsidR="009C0813">
        <w:rPr>
          <w:rFonts w:ascii="Times New Roman" w:hAnsi="Times New Roman"/>
        </w:rPr>
        <w:t xml:space="preserve">  </w:t>
      </w:r>
    </w:p>
    <w:p w:rsidR="009C0813" w:rsidRDefault="009C0813">
      <w:pPr>
        <w:rPr>
          <w:rFonts w:ascii="Times New Roman" w:hAnsi="Times New Roman"/>
        </w:rPr>
      </w:pPr>
    </w:p>
    <w:p w:rsidR="00154701" w:rsidRDefault="00275A26">
      <w:pPr>
        <w:rPr>
          <w:rFonts w:ascii="Times New Roman" w:hAnsi="Times New Roman"/>
        </w:rPr>
      </w:pPr>
      <w:r>
        <w:rPr>
          <w:rFonts w:ascii="Times New Roman" w:hAnsi="Times New Roman"/>
        </w:rPr>
        <w:t xml:space="preserve">The </w:t>
      </w:r>
      <w:r w:rsidR="009C0813">
        <w:rPr>
          <w:rFonts w:ascii="Times New Roman" w:hAnsi="Times New Roman"/>
        </w:rPr>
        <w:t>ACCL (Accreditation Council for Clinical Lipidology) offer</w:t>
      </w:r>
      <w:r>
        <w:rPr>
          <w:rFonts w:ascii="Times New Roman" w:hAnsi="Times New Roman"/>
        </w:rPr>
        <w:t>s</w:t>
      </w:r>
      <w:r w:rsidR="009C0813">
        <w:rPr>
          <w:rFonts w:ascii="Times New Roman" w:hAnsi="Times New Roman"/>
        </w:rPr>
        <w:t xml:space="preserve"> </w:t>
      </w:r>
      <w:r w:rsidR="005323DB">
        <w:rPr>
          <w:rFonts w:ascii="Times New Roman" w:hAnsi="Times New Roman"/>
        </w:rPr>
        <w:t xml:space="preserve">a clinical lipid specialist </w:t>
      </w:r>
      <w:r w:rsidR="009C0813">
        <w:rPr>
          <w:rFonts w:ascii="Times New Roman" w:hAnsi="Times New Roman"/>
        </w:rPr>
        <w:t>certification exam</w:t>
      </w:r>
      <w:r>
        <w:rPr>
          <w:rFonts w:ascii="Times New Roman" w:hAnsi="Times New Roman"/>
        </w:rPr>
        <w:t xml:space="preserve"> and credential</w:t>
      </w:r>
      <w:r w:rsidR="009C0813">
        <w:rPr>
          <w:rFonts w:ascii="Times New Roman" w:hAnsi="Times New Roman"/>
        </w:rPr>
        <w:t xml:space="preserve"> for </w:t>
      </w:r>
      <w:r>
        <w:rPr>
          <w:rFonts w:ascii="Times New Roman" w:hAnsi="Times New Roman"/>
        </w:rPr>
        <w:t>experienced qualified</w:t>
      </w:r>
      <w:r w:rsidR="009C0813">
        <w:rPr>
          <w:rFonts w:ascii="Times New Roman" w:hAnsi="Times New Roman"/>
        </w:rPr>
        <w:t xml:space="preserve"> nonphysicians which </w:t>
      </w:r>
      <w:r w:rsidR="009B3C61">
        <w:rPr>
          <w:rFonts w:ascii="Times New Roman" w:hAnsi="Times New Roman"/>
        </w:rPr>
        <w:t xml:space="preserve">is </w:t>
      </w:r>
      <w:r w:rsidR="009C0813">
        <w:rPr>
          <w:rFonts w:ascii="Times New Roman" w:hAnsi="Times New Roman"/>
        </w:rPr>
        <w:t xml:space="preserve">similar to the ABCL exam. </w:t>
      </w:r>
      <w:r w:rsidR="005323DB">
        <w:rPr>
          <w:rFonts w:ascii="Times New Roman" w:hAnsi="Times New Roman"/>
        </w:rPr>
        <w:t xml:space="preserve"> Nurse practitioners, physician assistants, nurses, </w:t>
      </w:r>
      <w:r w:rsidR="007D4734">
        <w:rPr>
          <w:rFonts w:ascii="Times New Roman" w:hAnsi="Times New Roman"/>
        </w:rPr>
        <w:t xml:space="preserve">registered dietitians, </w:t>
      </w:r>
      <w:r w:rsidR="005323DB">
        <w:rPr>
          <w:rFonts w:ascii="Times New Roman" w:hAnsi="Times New Roman"/>
        </w:rPr>
        <w:t>CDE’s, pharmacists,</w:t>
      </w:r>
      <w:r w:rsidR="007D4734">
        <w:rPr>
          <w:rFonts w:ascii="Times New Roman" w:hAnsi="Times New Roman"/>
        </w:rPr>
        <w:t xml:space="preserve"> and</w:t>
      </w:r>
      <w:r w:rsidR="005323DB">
        <w:rPr>
          <w:rFonts w:ascii="Times New Roman" w:hAnsi="Times New Roman"/>
        </w:rPr>
        <w:t xml:space="preserve"> </w:t>
      </w:r>
      <w:r w:rsidR="007D4734">
        <w:rPr>
          <w:rFonts w:ascii="Times New Roman" w:hAnsi="Times New Roman"/>
        </w:rPr>
        <w:t xml:space="preserve">clinical exercise physiologists </w:t>
      </w:r>
      <w:r w:rsidR="005323DB">
        <w:rPr>
          <w:rFonts w:ascii="Times New Roman" w:hAnsi="Times New Roman"/>
        </w:rPr>
        <w:t xml:space="preserve">are the principle focus of the ACCL. </w:t>
      </w:r>
      <w:r w:rsidR="009C0813">
        <w:rPr>
          <w:rFonts w:ascii="Times New Roman" w:hAnsi="Times New Roman"/>
        </w:rPr>
        <w:t xml:space="preserve"> The credential for those who qualify for and pass the exam </w:t>
      </w:r>
      <w:r w:rsidR="009B3C61">
        <w:rPr>
          <w:rFonts w:ascii="Times New Roman" w:hAnsi="Times New Roman"/>
        </w:rPr>
        <w:t xml:space="preserve">is </w:t>
      </w:r>
      <w:r w:rsidR="009C0813" w:rsidRPr="009C0813">
        <w:rPr>
          <w:rFonts w:ascii="Times New Roman" w:hAnsi="Times New Roman"/>
          <w:i/>
        </w:rPr>
        <w:t>certified clinical lipid specialist</w:t>
      </w:r>
      <w:r w:rsidR="009C0813">
        <w:rPr>
          <w:rFonts w:ascii="Times New Roman" w:hAnsi="Times New Roman"/>
        </w:rPr>
        <w:t xml:space="preserve">.  </w:t>
      </w:r>
      <w:r w:rsidR="009C0813">
        <w:rPr>
          <w:rFonts w:ascii="Times New Roman" w:hAnsi="Times New Roman"/>
        </w:rPr>
        <w:lastRenderedPageBreak/>
        <w:t xml:space="preserve">Obtaining this credential for qualified nonphysican staff will improve local provider perception of your clinic’s diagnostic and therapeutic proficiency and skill. </w:t>
      </w:r>
      <w:r w:rsidR="00DE30A3">
        <w:rPr>
          <w:rFonts w:ascii="Times New Roman" w:hAnsi="Times New Roman"/>
        </w:rPr>
        <w:t xml:space="preserve"> More information is available at </w:t>
      </w:r>
      <w:hyperlink r:id="rId8" w:history="1">
        <w:r w:rsidR="00DE30A3" w:rsidRPr="00D82CD0">
          <w:rPr>
            <w:rStyle w:val="Hyperlink"/>
            <w:rFonts w:ascii="Times New Roman" w:hAnsi="Times New Roman"/>
          </w:rPr>
          <w:t>www.lipidspecialist.org</w:t>
        </w:r>
      </w:hyperlink>
      <w:r w:rsidR="00DE30A3">
        <w:rPr>
          <w:rFonts w:ascii="Times New Roman" w:hAnsi="Times New Roman"/>
        </w:rPr>
        <w:t xml:space="preserve">. </w:t>
      </w:r>
    </w:p>
    <w:p w:rsidR="00F30366" w:rsidRDefault="00F30366">
      <w:pPr>
        <w:rPr>
          <w:rFonts w:ascii="Times New Roman" w:hAnsi="Times New Roman"/>
        </w:rPr>
      </w:pPr>
    </w:p>
    <w:p w:rsidR="00F30366" w:rsidRDefault="00F30366">
      <w:pPr>
        <w:rPr>
          <w:rFonts w:ascii="Times New Roman" w:hAnsi="Times New Roman"/>
        </w:rPr>
      </w:pPr>
      <w:r>
        <w:rPr>
          <w:rFonts w:ascii="Times New Roman" w:hAnsi="Times New Roman"/>
        </w:rPr>
        <w:t xml:space="preserve">Finally, you may want to offer </w:t>
      </w:r>
      <w:r w:rsidR="00086B72">
        <w:rPr>
          <w:rFonts w:ascii="Times New Roman" w:hAnsi="Times New Roman"/>
        </w:rPr>
        <w:t xml:space="preserve">a </w:t>
      </w:r>
      <w:r w:rsidR="00086B72" w:rsidRPr="00086B72">
        <w:rPr>
          <w:rFonts w:ascii="Times New Roman" w:hAnsi="Times New Roman"/>
          <w:i/>
        </w:rPr>
        <w:t>diagnostic only</w:t>
      </w:r>
      <w:r>
        <w:rPr>
          <w:rFonts w:ascii="Times New Roman" w:hAnsi="Times New Roman"/>
        </w:rPr>
        <w:t xml:space="preserve"> service to local referral sources.  Here your goal is to make a lipid disorder diagnosis based on, in many cases, more advanced lipoprotein, apoprotein</w:t>
      </w:r>
      <w:r w:rsidR="00D14B81">
        <w:rPr>
          <w:rFonts w:ascii="Times New Roman" w:hAnsi="Times New Roman"/>
        </w:rPr>
        <w:t>, genetic,</w:t>
      </w:r>
      <w:r>
        <w:rPr>
          <w:rFonts w:ascii="Times New Roman" w:hAnsi="Times New Roman"/>
        </w:rPr>
        <w:t xml:space="preserve"> and other relevant </w:t>
      </w:r>
      <w:r w:rsidR="00D14B81">
        <w:rPr>
          <w:rFonts w:ascii="Times New Roman" w:hAnsi="Times New Roman"/>
        </w:rPr>
        <w:t>assessments</w:t>
      </w:r>
      <w:r>
        <w:rPr>
          <w:rFonts w:ascii="Times New Roman" w:hAnsi="Times New Roman"/>
        </w:rPr>
        <w:t xml:space="preserve">.  </w:t>
      </w:r>
      <w:r w:rsidR="00086B72">
        <w:rPr>
          <w:rFonts w:ascii="Times New Roman" w:hAnsi="Times New Roman"/>
        </w:rPr>
        <w:t>In this case y</w:t>
      </w:r>
      <w:r>
        <w:rPr>
          <w:rFonts w:ascii="Times New Roman" w:hAnsi="Times New Roman"/>
        </w:rPr>
        <w:t xml:space="preserve">our service would include rendering a diagnosis, a probable </w:t>
      </w:r>
      <w:r w:rsidR="00141235">
        <w:rPr>
          <w:rFonts w:ascii="Times New Roman" w:hAnsi="Times New Roman"/>
        </w:rPr>
        <w:t>etiology</w:t>
      </w:r>
      <w:r w:rsidR="00086B72">
        <w:rPr>
          <w:rFonts w:ascii="Times New Roman" w:hAnsi="Times New Roman"/>
        </w:rPr>
        <w:t xml:space="preserve"> (genetic/lifestyle/drug</w:t>
      </w:r>
      <w:r>
        <w:rPr>
          <w:rFonts w:ascii="Times New Roman" w:hAnsi="Times New Roman"/>
        </w:rPr>
        <w:t>) and a recommendation for therapy.  This is a valuable service to many providers who want a lipidologist’s opinion but not institute therapy.</w:t>
      </w:r>
    </w:p>
    <w:p w:rsidR="00484E2D" w:rsidRDefault="00484E2D" w:rsidP="00522AF7">
      <w:pPr>
        <w:jc w:val="center"/>
        <w:rPr>
          <w:rFonts w:ascii="Times New Roman" w:hAnsi="Times New Roman"/>
        </w:rPr>
      </w:pPr>
    </w:p>
    <w:p w:rsidR="00484E2D" w:rsidRDefault="00484E2D" w:rsidP="00522AF7">
      <w:pPr>
        <w:jc w:val="center"/>
        <w:rPr>
          <w:rFonts w:ascii="Times New Roman" w:hAnsi="Times New Roman"/>
        </w:rPr>
      </w:pPr>
    </w:p>
    <w:p w:rsidR="008C0912" w:rsidRDefault="002E3422" w:rsidP="00522AF7">
      <w:pPr>
        <w:jc w:val="center"/>
        <w:rPr>
          <w:rFonts w:ascii="Times New Roman" w:hAnsi="Times New Roman"/>
        </w:rPr>
      </w:pPr>
      <w:r>
        <w:rPr>
          <w:rFonts w:ascii="Times New Roman" w:hAnsi="Times New Roman"/>
        </w:rPr>
        <w:t xml:space="preserve">Figure </w:t>
      </w:r>
    </w:p>
    <w:p w:rsidR="008C0912" w:rsidRDefault="008C0912" w:rsidP="00522AF7">
      <w:pPr>
        <w:jc w:val="center"/>
        <w:rPr>
          <w:rFonts w:ascii="Times New Roman" w:hAnsi="Times New Roman"/>
        </w:rPr>
      </w:pPr>
    </w:p>
    <w:p w:rsidR="008C0912" w:rsidRDefault="00542C47" w:rsidP="00522AF7">
      <w:pPr>
        <w:jc w:val="center"/>
      </w:pPr>
      <w:r w:rsidRPr="00E065BD">
        <w:object w:dxaOrig="4407" w:dyaOrig="3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25pt;height:222.8pt" o:ole="">
            <v:imagedata r:id="rId9" o:title=""/>
          </v:shape>
          <o:OLEObject Type="Embed" ProgID="PowerPoint.Slide.12" ShapeID="_x0000_i1025" DrawAspect="Content" ObjectID="_1508393215" r:id="rId10"/>
        </w:object>
      </w:r>
    </w:p>
    <w:p w:rsidR="00DD7CDB" w:rsidRDefault="00DD7CDB" w:rsidP="00522AF7">
      <w:pPr>
        <w:jc w:val="center"/>
      </w:pPr>
    </w:p>
    <w:p w:rsidR="00DD7CDB" w:rsidRDefault="00DD7CDB" w:rsidP="00522AF7">
      <w:pPr>
        <w:jc w:val="center"/>
      </w:pPr>
    </w:p>
    <w:p w:rsidR="00DD7CDB" w:rsidRDefault="00DD7CDB" w:rsidP="00522AF7">
      <w:pPr>
        <w:jc w:val="center"/>
        <w:rPr>
          <w:rFonts w:ascii="Times New Roman" w:hAnsi="Times New Roman"/>
        </w:rPr>
      </w:pPr>
    </w:p>
    <w:p w:rsidR="00154701" w:rsidRPr="008B08A1" w:rsidRDefault="00482F81" w:rsidP="00623972">
      <w:pPr>
        <w:rPr>
          <w:rFonts w:ascii="Times New Roman" w:hAnsi="Times New Roman"/>
          <w:b/>
        </w:rPr>
      </w:pPr>
      <w:r>
        <w:rPr>
          <w:rFonts w:ascii="Times New Roman" w:hAnsi="Times New Roman"/>
          <w:b/>
        </w:rPr>
        <w:t>3</w:t>
      </w:r>
      <w:r w:rsidR="00623972">
        <w:rPr>
          <w:rFonts w:ascii="Times New Roman" w:hAnsi="Times New Roman"/>
          <w:b/>
        </w:rPr>
        <w:t xml:space="preserve">.   </w:t>
      </w:r>
      <w:r w:rsidR="00154701" w:rsidRPr="008B08A1">
        <w:rPr>
          <w:rFonts w:ascii="Times New Roman" w:hAnsi="Times New Roman"/>
          <w:b/>
        </w:rPr>
        <w:t xml:space="preserve">Appropriate </w:t>
      </w:r>
      <w:r w:rsidR="00484E2D">
        <w:rPr>
          <w:rFonts w:ascii="Times New Roman" w:hAnsi="Times New Roman"/>
          <w:b/>
        </w:rPr>
        <w:t xml:space="preserve">lipid clinic </w:t>
      </w:r>
      <w:r w:rsidR="00154701" w:rsidRPr="008B08A1">
        <w:rPr>
          <w:rFonts w:ascii="Times New Roman" w:hAnsi="Times New Roman"/>
          <w:b/>
        </w:rPr>
        <w:t>entry criteria and sufficient patient referral</w:t>
      </w:r>
    </w:p>
    <w:p w:rsidR="00154701" w:rsidRDefault="00154701">
      <w:pPr>
        <w:rPr>
          <w:rFonts w:ascii="Times New Roman" w:hAnsi="Times New Roman"/>
        </w:rPr>
      </w:pPr>
    </w:p>
    <w:p w:rsidR="00154701" w:rsidRDefault="00154701">
      <w:pPr>
        <w:rPr>
          <w:rFonts w:ascii="Times New Roman" w:hAnsi="Times New Roman"/>
        </w:rPr>
      </w:pPr>
      <w:r>
        <w:rPr>
          <w:rFonts w:ascii="Times New Roman" w:hAnsi="Times New Roman"/>
        </w:rPr>
        <w:t xml:space="preserve">It is paramount that consideration be given to formal establishment of written referral criteria.  </w:t>
      </w:r>
      <w:r w:rsidR="009F1414">
        <w:rPr>
          <w:rFonts w:ascii="Times New Roman" w:hAnsi="Times New Roman"/>
        </w:rPr>
        <w:t>Mos</w:t>
      </w:r>
      <w:r>
        <w:rPr>
          <w:rFonts w:ascii="Times New Roman" w:hAnsi="Times New Roman"/>
        </w:rPr>
        <w:t xml:space="preserve">t “lipid clinics” have no formalized or written referral criteria.  Local providers should have some idea of what dyslipidemias/dyslipoproteinemias best suit your clinic’s clinical management skills and health care setting.  </w:t>
      </w:r>
    </w:p>
    <w:p w:rsidR="00154701" w:rsidRDefault="00154701">
      <w:pPr>
        <w:rPr>
          <w:rFonts w:ascii="Times New Roman" w:hAnsi="Times New Roman"/>
        </w:rPr>
      </w:pPr>
    </w:p>
    <w:p w:rsidR="0080506F" w:rsidRDefault="00154701">
      <w:pPr>
        <w:rPr>
          <w:rFonts w:ascii="Times New Roman" w:hAnsi="Times New Roman"/>
        </w:rPr>
      </w:pPr>
      <w:r>
        <w:rPr>
          <w:rFonts w:ascii="Times New Roman" w:hAnsi="Times New Roman"/>
        </w:rPr>
        <w:t>The first and primary source of patients with treatable lipid disorders are your own practice's higher-risk and/or more complex dyslipidemic patients. Patients who require relatively simple and straight-forward monotherapy and moderate dietary changes generally do not require a dedicated lipid clinic service except for perhaps a q6-month or annual follow-up to ensure compliance with lifestyle changes and/or drug therapy.  Providers who see these patients should be strongly encouraged to manage these patients as per the NCEP ATP III</w:t>
      </w:r>
      <w:r w:rsidR="002739FC">
        <w:rPr>
          <w:rFonts w:ascii="Times New Roman" w:hAnsi="Times New Roman"/>
        </w:rPr>
        <w:t>/IAS 2013</w:t>
      </w:r>
      <w:r w:rsidR="00E60D02">
        <w:rPr>
          <w:rFonts w:ascii="Times New Roman" w:hAnsi="Times New Roman"/>
        </w:rPr>
        <w:t>/NLA 2014</w:t>
      </w:r>
      <w:r>
        <w:rPr>
          <w:rFonts w:ascii="Times New Roman" w:hAnsi="Times New Roman"/>
        </w:rPr>
        <w:t xml:space="preserve"> </w:t>
      </w:r>
      <w:r>
        <w:rPr>
          <w:rFonts w:ascii="Times New Roman" w:hAnsi="Times New Roman"/>
        </w:rPr>
        <w:lastRenderedPageBreak/>
        <w:t>and ADA 20</w:t>
      </w:r>
      <w:r w:rsidR="00E178DE">
        <w:rPr>
          <w:rFonts w:ascii="Times New Roman" w:hAnsi="Times New Roman"/>
        </w:rPr>
        <w:t>1</w:t>
      </w:r>
      <w:r w:rsidR="002739FC">
        <w:rPr>
          <w:rFonts w:ascii="Times New Roman" w:hAnsi="Times New Roman"/>
        </w:rPr>
        <w:t>4</w:t>
      </w:r>
      <w:r>
        <w:rPr>
          <w:rFonts w:ascii="Times New Roman" w:hAnsi="Times New Roman"/>
        </w:rPr>
        <w:t xml:space="preserve"> guidelines.  Those who are higher risk  (e</w:t>
      </w:r>
      <w:r w:rsidR="00976E5A">
        <w:rPr>
          <w:rFonts w:ascii="Times New Roman" w:hAnsi="Times New Roman"/>
        </w:rPr>
        <w:t>.</w:t>
      </w:r>
      <w:r>
        <w:rPr>
          <w:rFonts w:ascii="Times New Roman" w:hAnsi="Times New Roman"/>
        </w:rPr>
        <w:t>g.</w:t>
      </w:r>
      <w:r w:rsidR="00976E5A">
        <w:rPr>
          <w:rFonts w:ascii="Times New Roman" w:hAnsi="Times New Roman"/>
        </w:rPr>
        <w:t>,</w:t>
      </w:r>
      <w:r>
        <w:rPr>
          <w:rFonts w:ascii="Times New Roman" w:hAnsi="Times New Roman"/>
        </w:rPr>
        <w:t xml:space="preserve"> secondary prevention with two or more CVD risk factors, </w:t>
      </w:r>
      <w:r w:rsidR="00FB1912">
        <w:rPr>
          <w:rFonts w:ascii="Times New Roman" w:hAnsi="Times New Roman"/>
        </w:rPr>
        <w:t>i.e.,</w:t>
      </w:r>
      <w:r>
        <w:rPr>
          <w:rFonts w:ascii="Times New Roman" w:hAnsi="Times New Roman"/>
        </w:rPr>
        <w:t xml:space="preserve"> &gt;20-30+% 10-year CHD risk) and/or who require mor</w:t>
      </w:r>
      <w:r w:rsidR="00790342">
        <w:rPr>
          <w:rFonts w:ascii="Times New Roman" w:hAnsi="Times New Roman"/>
        </w:rPr>
        <w:t xml:space="preserve">e advanced laboratory testing </w:t>
      </w:r>
      <w:r>
        <w:rPr>
          <w:rFonts w:ascii="Times New Roman" w:hAnsi="Times New Roman"/>
        </w:rPr>
        <w:t xml:space="preserve">or multiple drug therapy are more appropriate for lipid clinic services. Complex dyslipidemias are perhaps the best candidates for specialized </w:t>
      </w:r>
      <w:r w:rsidR="00D71424">
        <w:rPr>
          <w:rFonts w:ascii="Times New Roman" w:hAnsi="Times New Roman"/>
        </w:rPr>
        <w:t xml:space="preserve">level 2 </w:t>
      </w:r>
      <w:r>
        <w:rPr>
          <w:rFonts w:ascii="Times New Roman" w:hAnsi="Times New Roman"/>
        </w:rPr>
        <w:t>lipid clinic services (</w:t>
      </w:r>
      <w:r w:rsidR="00976E5A">
        <w:rPr>
          <w:rFonts w:ascii="Times New Roman" w:hAnsi="Times New Roman"/>
        </w:rPr>
        <w:t>see examples</w:t>
      </w:r>
      <w:r w:rsidR="0080506F">
        <w:rPr>
          <w:rFonts w:ascii="Times New Roman" w:hAnsi="Times New Roman"/>
        </w:rPr>
        <w:t xml:space="preserve"> below</w:t>
      </w:r>
      <w:r>
        <w:rPr>
          <w:rFonts w:ascii="Times New Roman" w:hAnsi="Times New Roman"/>
        </w:rPr>
        <w:t xml:space="preserve">).  </w:t>
      </w:r>
    </w:p>
    <w:p w:rsidR="0080506F" w:rsidRDefault="0080506F">
      <w:pPr>
        <w:rPr>
          <w:rFonts w:ascii="Times New Roman" w:hAnsi="Times New Roman"/>
        </w:rPr>
      </w:pPr>
    </w:p>
    <w:p w:rsidR="00154701" w:rsidRDefault="00154701">
      <w:pPr>
        <w:rPr>
          <w:rFonts w:ascii="Times New Roman" w:hAnsi="Times New Roman"/>
        </w:rPr>
      </w:pPr>
      <w:r>
        <w:rPr>
          <w:rFonts w:ascii="Times New Roman" w:hAnsi="Times New Roman"/>
        </w:rPr>
        <w:t xml:space="preserve">Many of these will require diagnostic proficiency and working knowledge of advanced </w:t>
      </w:r>
      <w:r w:rsidR="00795E43">
        <w:rPr>
          <w:rFonts w:ascii="Times New Roman" w:hAnsi="Times New Roman"/>
        </w:rPr>
        <w:t xml:space="preserve">genetic and </w:t>
      </w:r>
      <w:r>
        <w:rPr>
          <w:rFonts w:ascii="Times New Roman" w:hAnsi="Times New Roman"/>
        </w:rPr>
        <w:t>lipoprotei</w:t>
      </w:r>
      <w:r w:rsidR="000E0B95">
        <w:rPr>
          <w:rFonts w:ascii="Times New Roman" w:hAnsi="Times New Roman"/>
        </w:rPr>
        <w:t>n assays</w:t>
      </w:r>
      <w:r w:rsidR="00542746">
        <w:rPr>
          <w:rFonts w:ascii="Times New Roman" w:hAnsi="Times New Roman"/>
        </w:rPr>
        <w:t xml:space="preserve"> (see #4</w:t>
      </w:r>
      <w:r w:rsidR="0027377B">
        <w:rPr>
          <w:rFonts w:ascii="Times New Roman" w:hAnsi="Times New Roman"/>
        </w:rPr>
        <w:t xml:space="preserve"> below)</w:t>
      </w:r>
      <w:r>
        <w:rPr>
          <w:rFonts w:ascii="Times New Roman" w:hAnsi="Times New Roman"/>
        </w:rPr>
        <w:t>.  Patients requiring more complex therapy, e</w:t>
      </w:r>
      <w:r w:rsidR="00A4299E">
        <w:rPr>
          <w:rFonts w:ascii="Times New Roman" w:hAnsi="Times New Roman"/>
        </w:rPr>
        <w:t>.</w:t>
      </w:r>
      <w:r>
        <w:rPr>
          <w:rFonts w:ascii="Times New Roman" w:hAnsi="Times New Roman"/>
        </w:rPr>
        <w:t>g.</w:t>
      </w:r>
      <w:r w:rsidR="000E0B95">
        <w:rPr>
          <w:rFonts w:ascii="Times New Roman" w:hAnsi="Times New Roman"/>
        </w:rPr>
        <w:t>,</w:t>
      </w:r>
      <w:r>
        <w:rPr>
          <w:rFonts w:ascii="Times New Roman" w:hAnsi="Times New Roman"/>
        </w:rPr>
        <w:t xml:space="preserve"> </w:t>
      </w:r>
      <w:r w:rsidR="00A4299E">
        <w:rPr>
          <w:rFonts w:ascii="Times New Roman" w:hAnsi="Times New Roman"/>
        </w:rPr>
        <w:t>t</w:t>
      </w:r>
      <w:r>
        <w:rPr>
          <w:rFonts w:ascii="Times New Roman" w:hAnsi="Times New Roman"/>
        </w:rPr>
        <w:t>wo</w:t>
      </w:r>
      <w:r w:rsidR="006A77ED">
        <w:rPr>
          <w:rFonts w:ascii="Times New Roman" w:hAnsi="Times New Roman"/>
        </w:rPr>
        <w:t xml:space="preserve"> or more</w:t>
      </w:r>
      <w:r>
        <w:rPr>
          <w:rFonts w:ascii="Times New Roman" w:hAnsi="Times New Roman"/>
        </w:rPr>
        <w:t xml:space="preserve"> liver</w:t>
      </w:r>
      <w:r w:rsidR="000E0B95">
        <w:rPr>
          <w:rFonts w:ascii="Times New Roman" w:hAnsi="Times New Roman"/>
        </w:rPr>
        <w:t>-</w:t>
      </w:r>
      <w:r>
        <w:rPr>
          <w:rFonts w:ascii="Times New Roman" w:hAnsi="Times New Roman"/>
        </w:rPr>
        <w:t>metabolized drugs</w:t>
      </w:r>
      <w:r w:rsidR="0086465A">
        <w:rPr>
          <w:rFonts w:ascii="Times New Roman" w:hAnsi="Times New Roman"/>
        </w:rPr>
        <w:t>,</w:t>
      </w:r>
      <w:r>
        <w:rPr>
          <w:rFonts w:ascii="Times New Roman" w:hAnsi="Times New Roman"/>
        </w:rPr>
        <w:t xml:space="preserve"> are also good candidates for lipid clinic services. Special populations, </w:t>
      </w:r>
      <w:r w:rsidR="00A4299E">
        <w:rPr>
          <w:rFonts w:ascii="Times New Roman" w:hAnsi="Times New Roman"/>
        </w:rPr>
        <w:t>e.g</w:t>
      </w:r>
      <w:r>
        <w:rPr>
          <w:rFonts w:ascii="Times New Roman" w:hAnsi="Times New Roman"/>
        </w:rPr>
        <w:t>.</w:t>
      </w:r>
      <w:r w:rsidR="000E0B95">
        <w:rPr>
          <w:rFonts w:ascii="Times New Roman" w:hAnsi="Times New Roman"/>
        </w:rPr>
        <w:t>,</w:t>
      </w:r>
      <w:r w:rsidR="00333FEE">
        <w:rPr>
          <w:rFonts w:ascii="Times New Roman" w:hAnsi="Times New Roman"/>
        </w:rPr>
        <w:t xml:space="preserve"> PCOS, HIV</w:t>
      </w:r>
      <w:r w:rsidR="006A77ED">
        <w:rPr>
          <w:rFonts w:ascii="Times New Roman" w:hAnsi="Times New Roman"/>
        </w:rPr>
        <w:t>, or</w:t>
      </w:r>
      <w:r>
        <w:rPr>
          <w:rFonts w:ascii="Times New Roman" w:hAnsi="Times New Roman"/>
        </w:rPr>
        <w:t xml:space="preserve"> pediatric dyslipidemia specialization</w:t>
      </w:r>
      <w:r w:rsidR="00AB7EB0">
        <w:rPr>
          <w:rFonts w:ascii="Times New Roman" w:hAnsi="Times New Roman"/>
        </w:rPr>
        <w:t>,</w:t>
      </w:r>
      <w:r>
        <w:rPr>
          <w:rFonts w:ascii="Times New Roman" w:hAnsi="Times New Roman"/>
        </w:rPr>
        <w:t xml:space="preserve"> those who have historically been resistant or unresponsive to therapy</w:t>
      </w:r>
      <w:r w:rsidR="00AB7EB0">
        <w:rPr>
          <w:rFonts w:ascii="Times New Roman" w:hAnsi="Times New Roman"/>
        </w:rPr>
        <w:t xml:space="preserve"> including statin intolerance</w:t>
      </w:r>
      <w:r>
        <w:rPr>
          <w:rFonts w:ascii="Times New Roman" w:hAnsi="Times New Roman"/>
        </w:rPr>
        <w:t xml:space="preserve"> are also candidates for a lipid clinic service. </w:t>
      </w:r>
      <w:r w:rsidR="00AB7EB0">
        <w:rPr>
          <w:rFonts w:ascii="Times New Roman" w:hAnsi="Times New Roman"/>
        </w:rPr>
        <w:t xml:space="preserve"> </w:t>
      </w:r>
      <w:r>
        <w:rPr>
          <w:rFonts w:ascii="Times New Roman" w:hAnsi="Times New Roman"/>
        </w:rPr>
        <w:t xml:space="preserve">Regardless of what criteria a provider chooses to refer a patient all new patients should be thoroughly evaluated to confirm type and origin of the dyslipidemia/dylipoproteinemia. </w:t>
      </w:r>
    </w:p>
    <w:p w:rsidR="00154701" w:rsidRDefault="00154701">
      <w:pPr>
        <w:rPr>
          <w:rFonts w:ascii="Times New Roman" w:hAnsi="Times New Roman"/>
        </w:rPr>
      </w:pPr>
    </w:p>
    <w:p w:rsidR="00154701" w:rsidRPr="008B08A1" w:rsidRDefault="00154701">
      <w:pPr>
        <w:rPr>
          <w:rFonts w:ascii="Times New Roman" w:hAnsi="Times New Roman"/>
        </w:rPr>
      </w:pPr>
      <w:r w:rsidRPr="008B08A1">
        <w:rPr>
          <w:rFonts w:ascii="Times New Roman" w:hAnsi="Times New Roman"/>
          <w:u w:val="single"/>
        </w:rPr>
        <w:t>Example situations requiring a higher level of provider skill and systematic therapy</w:t>
      </w:r>
      <w:r w:rsidR="008B08A1">
        <w:rPr>
          <w:rFonts w:ascii="Times New Roman" w:hAnsi="Times New Roman"/>
        </w:rPr>
        <w:t>:</w:t>
      </w:r>
    </w:p>
    <w:p w:rsidR="00154701" w:rsidRPr="008B08A1" w:rsidRDefault="00154701">
      <w:pPr>
        <w:rPr>
          <w:rFonts w:ascii="Times New Roman" w:hAnsi="Times New Roman"/>
          <w:u w:val="single"/>
        </w:rPr>
      </w:pPr>
    </w:p>
    <w:p w:rsidR="00154701" w:rsidRDefault="00154701">
      <w:pPr>
        <w:numPr>
          <w:ilvl w:val="0"/>
          <w:numId w:val="6"/>
        </w:numPr>
        <w:rPr>
          <w:rFonts w:ascii="Times New Roman" w:hAnsi="Times New Roman"/>
        </w:rPr>
      </w:pPr>
      <w:r>
        <w:rPr>
          <w:rFonts w:ascii="Times New Roman" w:hAnsi="Times New Roman"/>
        </w:rPr>
        <w:t>Complex dyslipidemias</w:t>
      </w:r>
      <w:r w:rsidR="00B35D01">
        <w:rPr>
          <w:rFonts w:ascii="Times New Roman" w:hAnsi="Times New Roman"/>
        </w:rPr>
        <w:t xml:space="preserve"> (including genetic forms)</w:t>
      </w:r>
    </w:p>
    <w:p w:rsidR="00154701" w:rsidRDefault="00FB1912">
      <w:pPr>
        <w:pStyle w:val="BodyTextIndent"/>
      </w:pPr>
      <w:r>
        <w:t xml:space="preserve">e.g., </w:t>
      </w:r>
      <w:r w:rsidR="00154701">
        <w:t xml:space="preserve">Fredrickson type </w:t>
      </w:r>
      <w:r w:rsidR="00333FEE">
        <w:t>I</w:t>
      </w:r>
      <w:r w:rsidR="00BE64E6">
        <w:t xml:space="preserve">, </w:t>
      </w:r>
      <w:r w:rsidR="00154701">
        <w:t>III, V, diabetic dyslipidemia, familial</w:t>
      </w:r>
      <w:r w:rsidR="00250AB5">
        <w:t xml:space="preserve"> hypercholesterolemia and familial</w:t>
      </w:r>
      <w:r w:rsidR="00154701">
        <w:t xml:space="preserve"> combined hypercholester</w:t>
      </w:r>
      <w:r w:rsidR="00CE194C">
        <w:t>olemia, chylomicronemia</w:t>
      </w:r>
      <w:r w:rsidR="00154701">
        <w:t>, familial hypertriglyceridemia TG &gt; 1000 mg/dL</w:t>
      </w:r>
      <w:r w:rsidR="00660478">
        <w:t>,</w:t>
      </w:r>
      <w:r w:rsidR="00CE194C">
        <w:t xml:space="preserve"> elevated </w:t>
      </w:r>
      <w:r>
        <w:t>Lp (</w:t>
      </w:r>
      <w:r w:rsidR="00CE194C">
        <w:t>a),</w:t>
      </w:r>
      <w:r w:rsidR="00E178DE">
        <w:t xml:space="preserve"> </w:t>
      </w:r>
      <w:r w:rsidR="00623972">
        <w:t>familial hypoalphalipoproteinemia,</w:t>
      </w:r>
      <w:r w:rsidR="00D51A69">
        <w:t xml:space="preserve"> lipase </w:t>
      </w:r>
      <w:r w:rsidR="007F1341">
        <w:t>and apolipoprotein deficiencies,</w:t>
      </w:r>
      <w:r w:rsidR="00660478">
        <w:t xml:space="preserve"> etc.</w:t>
      </w:r>
    </w:p>
    <w:p w:rsidR="00154701" w:rsidRDefault="00154701">
      <w:pPr>
        <w:numPr>
          <w:ilvl w:val="0"/>
          <w:numId w:val="6"/>
        </w:numPr>
        <w:rPr>
          <w:rFonts w:ascii="Times New Roman" w:hAnsi="Times New Roman"/>
        </w:rPr>
      </w:pPr>
      <w:r>
        <w:rPr>
          <w:rFonts w:ascii="Times New Roman" w:hAnsi="Times New Roman"/>
        </w:rPr>
        <w:t>Complex therapy</w:t>
      </w:r>
      <w:r w:rsidR="00B35D01">
        <w:rPr>
          <w:rFonts w:ascii="Times New Roman" w:hAnsi="Times New Roman"/>
        </w:rPr>
        <w:t xml:space="preserve"> </w:t>
      </w:r>
    </w:p>
    <w:p w:rsidR="00154701" w:rsidRDefault="00FB1912">
      <w:pPr>
        <w:ind w:left="720"/>
        <w:rPr>
          <w:rFonts w:ascii="Times New Roman" w:hAnsi="Times New Roman"/>
        </w:rPr>
      </w:pPr>
      <w:r>
        <w:rPr>
          <w:rFonts w:ascii="Times New Roman" w:hAnsi="Times New Roman"/>
        </w:rPr>
        <w:t>e.g., Where two or more liver-metabolized drugs are needed</w:t>
      </w:r>
    </w:p>
    <w:p w:rsidR="00154701" w:rsidRDefault="00154701">
      <w:pPr>
        <w:numPr>
          <w:ilvl w:val="0"/>
          <w:numId w:val="6"/>
        </w:numPr>
        <w:rPr>
          <w:rFonts w:ascii="Times New Roman" w:hAnsi="Times New Roman"/>
        </w:rPr>
      </w:pPr>
      <w:r>
        <w:rPr>
          <w:rFonts w:ascii="Times New Roman" w:hAnsi="Times New Roman"/>
        </w:rPr>
        <w:t xml:space="preserve">Special populations </w:t>
      </w:r>
    </w:p>
    <w:p w:rsidR="00154701" w:rsidRDefault="00154701">
      <w:pPr>
        <w:ind w:firstLine="720"/>
        <w:rPr>
          <w:rFonts w:ascii="Times New Roman" w:hAnsi="Times New Roman"/>
        </w:rPr>
      </w:pPr>
      <w:r>
        <w:rPr>
          <w:rFonts w:ascii="Times New Roman" w:hAnsi="Times New Roman"/>
        </w:rPr>
        <w:t>e</w:t>
      </w:r>
      <w:r w:rsidR="00B34307">
        <w:rPr>
          <w:rFonts w:ascii="Times New Roman" w:hAnsi="Times New Roman"/>
        </w:rPr>
        <w:t>.</w:t>
      </w:r>
      <w:r>
        <w:rPr>
          <w:rFonts w:ascii="Times New Roman" w:hAnsi="Times New Roman"/>
        </w:rPr>
        <w:t xml:space="preserve">g. HIV, </w:t>
      </w:r>
      <w:r w:rsidR="00660478">
        <w:rPr>
          <w:rFonts w:ascii="Times New Roman" w:hAnsi="Times New Roman"/>
        </w:rPr>
        <w:t xml:space="preserve">PCOS, renal dialysis, </w:t>
      </w:r>
      <w:r>
        <w:rPr>
          <w:rFonts w:ascii="Times New Roman" w:hAnsi="Times New Roman"/>
        </w:rPr>
        <w:t>pediatric cases, diabetic dyslipidemia</w:t>
      </w:r>
    </w:p>
    <w:p w:rsidR="00154701" w:rsidRDefault="00154701">
      <w:pPr>
        <w:numPr>
          <w:ilvl w:val="0"/>
          <w:numId w:val="6"/>
        </w:numPr>
        <w:rPr>
          <w:rFonts w:ascii="Times New Roman" w:hAnsi="Times New Roman"/>
        </w:rPr>
      </w:pPr>
      <w:r>
        <w:rPr>
          <w:rFonts w:ascii="Times New Roman" w:hAnsi="Times New Roman"/>
        </w:rPr>
        <w:t>Patients who have been resistant or unresponsive to prior and/or current therapy</w:t>
      </w:r>
    </w:p>
    <w:p w:rsidR="00BF3D26" w:rsidRDefault="000D338A">
      <w:pPr>
        <w:numPr>
          <w:ilvl w:val="0"/>
          <w:numId w:val="6"/>
        </w:numPr>
        <w:rPr>
          <w:rFonts w:ascii="Times New Roman" w:hAnsi="Times New Roman"/>
        </w:rPr>
      </w:pPr>
      <w:r>
        <w:rPr>
          <w:rFonts w:ascii="Times New Roman" w:hAnsi="Times New Roman"/>
        </w:rPr>
        <w:t>Drug therapy resistance, e.g., statin</w:t>
      </w:r>
      <w:r w:rsidR="00BF3D26">
        <w:rPr>
          <w:rFonts w:ascii="Times New Roman" w:hAnsi="Times New Roman"/>
        </w:rPr>
        <w:t xml:space="preserve"> intolerance</w:t>
      </w:r>
    </w:p>
    <w:p w:rsidR="00154701" w:rsidRDefault="00154701">
      <w:pPr>
        <w:numPr>
          <w:ilvl w:val="0"/>
          <w:numId w:val="6"/>
        </w:numPr>
        <w:rPr>
          <w:rFonts w:ascii="Times New Roman" w:hAnsi="Times New Roman"/>
        </w:rPr>
      </w:pPr>
      <w:r>
        <w:rPr>
          <w:rFonts w:ascii="Times New Roman" w:hAnsi="Times New Roman"/>
        </w:rPr>
        <w:t>Very high risk patients (e</w:t>
      </w:r>
      <w:r w:rsidR="00786EF8">
        <w:rPr>
          <w:rFonts w:ascii="Times New Roman" w:hAnsi="Times New Roman"/>
        </w:rPr>
        <w:t>.</w:t>
      </w:r>
      <w:r>
        <w:rPr>
          <w:rFonts w:ascii="Times New Roman" w:hAnsi="Times New Roman"/>
        </w:rPr>
        <w:t>g</w:t>
      </w:r>
      <w:r w:rsidR="00786EF8">
        <w:rPr>
          <w:rFonts w:ascii="Times New Roman" w:hAnsi="Times New Roman"/>
        </w:rPr>
        <w:t>.,</w:t>
      </w:r>
      <w:r>
        <w:rPr>
          <w:rFonts w:ascii="Times New Roman" w:hAnsi="Times New Roman"/>
        </w:rPr>
        <w:t xml:space="preserve"> 10 year CHD risk &gt; 30%) where time-to-goal is paramount</w:t>
      </w:r>
      <w:r w:rsidR="00ED45E0">
        <w:rPr>
          <w:rFonts w:ascii="Times New Roman" w:hAnsi="Times New Roman"/>
        </w:rPr>
        <w:t xml:space="preserve"> or lifetime ASCVD risk &gt;45%</w:t>
      </w:r>
    </w:p>
    <w:p w:rsidR="00BE64E6" w:rsidRDefault="005C74D3">
      <w:pPr>
        <w:numPr>
          <w:ilvl w:val="0"/>
          <w:numId w:val="6"/>
        </w:numPr>
        <w:rPr>
          <w:rFonts w:ascii="Times New Roman" w:hAnsi="Times New Roman"/>
        </w:rPr>
      </w:pPr>
      <w:r>
        <w:rPr>
          <w:rFonts w:ascii="Times New Roman" w:hAnsi="Times New Roman"/>
        </w:rPr>
        <w:t xml:space="preserve">Patients who require a differential </w:t>
      </w:r>
      <w:r w:rsidR="00BE64E6" w:rsidRPr="005C74D3">
        <w:rPr>
          <w:rFonts w:ascii="Times New Roman" w:hAnsi="Times New Roman"/>
        </w:rPr>
        <w:t>diagnosis</w:t>
      </w:r>
      <w:r w:rsidR="00BE64E6">
        <w:rPr>
          <w:rFonts w:ascii="Times New Roman" w:hAnsi="Times New Roman"/>
        </w:rPr>
        <w:t xml:space="preserve"> of a lipoprotein disorder and some determination of the genetic and lifestyle roles including recommended therapy</w:t>
      </w:r>
    </w:p>
    <w:p w:rsidR="000D338A" w:rsidRDefault="000D338A" w:rsidP="000D338A">
      <w:pPr>
        <w:ind w:left="360"/>
        <w:rPr>
          <w:rFonts w:ascii="Times New Roman" w:hAnsi="Times New Roman"/>
        </w:rPr>
      </w:pPr>
    </w:p>
    <w:p w:rsidR="00EE4A06" w:rsidRDefault="00EE4A06" w:rsidP="000D338A">
      <w:pPr>
        <w:ind w:left="360"/>
        <w:rPr>
          <w:rFonts w:ascii="Times New Roman" w:hAnsi="Times New Roman"/>
        </w:rPr>
      </w:pPr>
    </w:p>
    <w:p w:rsidR="001D2148" w:rsidRPr="007A64C8" w:rsidRDefault="00482F81" w:rsidP="001D2148">
      <w:pPr>
        <w:rPr>
          <w:rFonts w:ascii="Times New Roman" w:hAnsi="Times New Roman"/>
          <w:b/>
        </w:rPr>
      </w:pPr>
      <w:r>
        <w:rPr>
          <w:rFonts w:ascii="Times New Roman" w:hAnsi="Times New Roman"/>
          <w:b/>
        </w:rPr>
        <w:t>4</w:t>
      </w:r>
      <w:r w:rsidR="006C326D" w:rsidRPr="007A64C8">
        <w:rPr>
          <w:rFonts w:ascii="Times New Roman" w:hAnsi="Times New Roman"/>
          <w:b/>
        </w:rPr>
        <w:t>.  Familiarity with Advanced Lipoprotein</w:t>
      </w:r>
      <w:r w:rsidR="007A64C8">
        <w:rPr>
          <w:rFonts w:ascii="Times New Roman" w:hAnsi="Times New Roman"/>
          <w:b/>
        </w:rPr>
        <w:t xml:space="preserve"> Laboratory Measures</w:t>
      </w:r>
    </w:p>
    <w:p w:rsidR="006C326D" w:rsidRDefault="006C326D" w:rsidP="001D2148">
      <w:pPr>
        <w:rPr>
          <w:rFonts w:ascii="Times New Roman" w:hAnsi="Times New Roman"/>
        </w:rPr>
      </w:pPr>
    </w:p>
    <w:p w:rsidR="00C515C9" w:rsidRPr="002854F3" w:rsidRDefault="006C326D" w:rsidP="00775FB0">
      <w:pPr>
        <w:widowControl/>
        <w:autoSpaceDE w:val="0"/>
        <w:autoSpaceDN w:val="0"/>
        <w:adjustRightInd w:val="0"/>
        <w:rPr>
          <w:rFonts w:ascii="Times New Roman" w:hAnsi="Times New Roman"/>
          <w:szCs w:val="24"/>
        </w:rPr>
      </w:pPr>
      <w:r>
        <w:rPr>
          <w:rFonts w:ascii="Times New Roman" w:hAnsi="Times New Roman"/>
        </w:rPr>
        <w:t>Utilization of more advan</w:t>
      </w:r>
      <w:r w:rsidR="00E379DD">
        <w:rPr>
          <w:rFonts w:ascii="Times New Roman" w:hAnsi="Times New Roman"/>
        </w:rPr>
        <w:t>ced laboratory measures are</w:t>
      </w:r>
      <w:r w:rsidR="006260D6">
        <w:rPr>
          <w:rFonts w:ascii="Times New Roman" w:hAnsi="Times New Roman"/>
        </w:rPr>
        <w:t xml:space="preserve"> sometimes but</w:t>
      </w:r>
      <w:r w:rsidR="00E379DD">
        <w:rPr>
          <w:rFonts w:ascii="Times New Roman" w:hAnsi="Times New Roman"/>
        </w:rPr>
        <w:t xml:space="preserve"> not</w:t>
      </w:r>
      <w:r w:rsidR="006260D6">
        <w:rPr>
          <w:rFonts w:ascii="Times New Roman" w:hAnsi="Times New Roman"/>
        </w:rPr>
        <w:t xml:space="preserve"> always</w:t>
      </w:r>
      <w:r>
        <w:rPr>
          <w:rFonts w:ascii="Times New Roman" w:hAnsi="Times New Roman"/>
        </w:rPr>
        <w:t xml:space="preserve"> required in assessing risk and respon</w:t>
      </w:r>
      <w:r w:rsidR="00CC402D">
        <w:rPr>
          <w:rFonts w:ascii="Times New Roman" w:hAnsi="Times New Roman"/>
        </w:rPr>
        <w:t xml:space="preserve">se to therapy in every </w:t>
      </w:r>
      <w:r>
        <w:rPr>
          <w:rFonts w:ascii="Times New Roman" w:hAnsi="Times New Roman"/>
        </w:rPr>
        <w:t>patient</w:t>
      </w:r>
      <w:r w:rsidR="006260D6">
        <w:rPr>
          <w:rFonts w:ascii="Times New Roman" w:hAnsi="Times New Roman"/>
        </w:rPr>
        <w:t>.  Clinical l</w:t>
      </w:r>
      <w:r w:rsidR="00E064DF">
        <w:rPr>
          <w:rFonts w:ascii="Times New Roman" w:hAnsi="Times New Roman"/>
        </w:rPr>
        <w:t xml:space="preserve">ipid specialists </w:t>
      </w:r>
      <w:r>
        <w:rPr>
          <w:rFonts w:ascii="Times New Roman" w:hAnsi="Times New Roman"/>
        </w:rPr>
        <w:t>should</w:t>
      </w:r>
      <w:r w:rsidR="006260D6">
        <w:rPr>
          <w:rFonts w:ascii="Times New Roman" w:hAnsi="Times New Roman"/>
        </w:rPr>
        <w:t xml:space="preserve"> however</w:t>
      </w:r>
      <w:r>
        <w:rPr>
          <w:rFonts w:ascii="Times New Roman" w:hAnsi="Times New Roman"/>
        </w:rPr>
        <w:t xml:space="preserve"> be familiar with select more advanced lipoprotein</w:t>
      </w:r>
      <w:r w:rsidR="006260D6">
        <w:rPr>
          <w:rFonts w:ascii="Times New Roman" w:hAnsi="Times New Roman"/>
        </w:rPr>
        <w:t xml:space="preserve"> and genetic laboratory</w:t>
      </w:r>
      <w:r>
        <w:rPr>
          <w:rFonts w:ascii="Times New Roman" w:hAnsi="Times New Roman"/>
        </w:rPr>
        <w:t xml:space="preserve"> assessments e.g., LDL-P, HDL-P, </w:t>
      </w:r>
      <w:r w:rsidR="00D10F6F">
        <w:rPr>
          <w:rFonts w:ascii="Times New Roman" w:hAnsi="Times New Roman"/>
        </w:rPr>
        <w:t xml:space="preserve">VLDL subspecies, </w:t>
      </w:r>
      <w:r w:rsidR="00DD5308">
        <w:rPr>
          <w:rFonts w:ascii="Times New Roman" w:hAnsi="Times New Roman"/>
        </w:rPr>
        <w:t>A</w:t>
      </w:r>
      <w:r>
        <w:rPr>
          <w:rFonts w:ascii="Times New Roman" w:hAnsi="Times New Roman"/>
        </w:rPr>
        <w:t>po B</w:t>
      </w:r>
      <w:r w:rsidR="007F1341">
        <w:rPr>
          <w:rFonts w:ascii="Times New Roman" w:hAnsi="Times New Roman"/>
        </w:rPr>
        <w:t xml:space="preserve"> &amp; A</w:t>
      </w:r>
      <w:r>
        <w:rPr>
          <w:rFonts w:ascii="Times New Roman" w:hAnsi="Times New Roman"/>
        </w:rPr>
        <w:t xml:space="preserve">, Lp(a), LpPLA2, </w:t>
      </w:r>
      <w:r w:rsidR="00821D72">
        <w:rPr>
          <w:rFonts w:ascii="Times New Roman" w:hAnsi="Times New Roman"/>
        </w:rPr>
        <w:t>genetic markers</w:t>
      </w:r>
      <w:r w:rsidR="00C86091">
        <w:rPr>
          <w:rFonts w:ascii="Times New Roman" w:hAnsi="Times New Roman"/>
        </w:rPr>
        <w:t xml:space="preserve"> </w:t>
      </w:r>
      <w:r w:rsidR="00C86091" w:rsidRPr="002854F3">
        <w:rPr>
          <w:rFonts w:ascii="Times New Roman" w:hAnsi="Times New Roman"/>
        </w:rPr>
        <w:t>(e.g., ApoB genotype, PCSK9)</w:t>
      </w:r>
      <w:r w:rsidRPr="002854F3">
        <w:rPr>
          <w:rFonts w:ascii="Times New Roman" w:hAnsi="Times New Roman"/>
        </w:rPr>
        <w:t xml:space="preserve"> with regard to if and when they may have meaningful clinical utility.</w:t>
      </w:r>
    </w:p>
    <w:p w:rsidR="00775FB0" w:rsidRPr="00312894" w:rsidRDefault="006C326D" w:rsidP="002854F3">
      <w:pPr>
        <w:widowControl/>
        <w:autoSpaceDE w:val="0"/>
        <w:autoSpaceDN w:val="0"/>
        <w:adjustRightInd w:val="0"/>
        <w:rPr>
          <w:rFonts w:ascii="Times New Roman" w:hAnsi="Times New Roman"/>
          <w:iCs/>
          <w:color w:val="000000" w:themeColor="text1"/>
          <w:szCs w:val="24"/>
        </w:rPr>
      </w:pPr>
      <w:r w:rsidRPr="002854F3">
        <w:rPr>
          <w:rFonts w:ascii="Times New Roman" w:hAnsi="Times New Roman"/>
        </w:rPr>
        <w:t>De</w:t>
      </w:r>
      <w:r w:rsidR="00F05992" w:rsidRPr="002854F3">
        <w:rPr>
          <w:rFonts w:ascii="Times New Roman" w:hAnsi="Times New Roman"/>
        </w:rPr>
        <w:t xml:space="preserve">termine </w:t>
      </w:r>
      <w:r w:rsidRPr="002854F3">
        <w:rPr>
          <w:rFonts w:ascii="Times New Roman" w:hAnsi="Times New Roman"/>
        </w:rPr>
        <w:t xml:space="preserve">which patients/lipoprotein disorders will </w:t>
      </w:r>
      <w:r w:rsidR="00F05992" w:rsidRPr="002854F3">
        <w:rPr>
          <w:rFonts w:ascii="Times New Roman" w:hAnsi="Times New Roman"/>
        </w:rPr>
        <w:t xml:space="preserve">be </w:t>
      </w:r>
      <w:r w:rsidRPr="002854F3">
        <w:rPr>
          <w:rFonts w:ascii="Times New Roman" w:hAnsi="Times New Roman"/>
        </w:rPr>
        <w:t>evaluate</w:t>
      </w:r>
      <w:r w:rsidR="00F05992" w:rsidRPr="002854F3">
        <w:rPr>
          <w:rFonts w:ascii="Times New Roman" w:hAnsi="Times New Roman"/>
        </w:rPr>
        <w:t>d with</w:t>
      </w:r>
      <w:r w:rsidRPr="002854F3">
        <w:rPr>
          <w:rFonts w:ascii="Times New Roman" w:hAnsi="Times New Roman"/>
        </w:rPr>
        <w:t xml:space="preserve"> these </w:t>
      </w:r>
      <w:r w:rsidR="00803733" w:rsidRPr="002854F3">
        <w:rPr>
          <w:rFonts w:ascii="Times New Roman" w:hAnsi="Times New Roman"/>
        </w:rPr>
        <w:t>measures</w:t>
      </w:r>
      <w:r w:rsidRPr="002854F3">
        <w:rPr>
          <w:rFonts w:ascii="Times New Roman" w:hAnsi="Times New Roman"/>
        </w:rPr>
        <w:t>.</w:t>
      </w:r>
      <w:r w:rsidRPr="002854F3">
        <w:rPr>
          <w:rFonts w:ascii="Times New Roman" w:hAnsi="Times New Roman"/>
          <w:iCs/>
        </w:rPr>
        <w:t xml:space="preserve"> </w:t>
      </w:r>
      <w:r w:rsidR="007613BF" w:rsidRPr="002854F3">
        <w:rPr>
          <w:rFonts w:ascii="Times New Roman" w:hAnsi="Times New Roman"/>
          <w:iCs/>
        </w:rPr>
        <w:t xml:space="preserve"> Six</w:t>
      </w:r>
      <w:r w:rsidR="00D943C7" w:rsidRPr="002854F3">
        <w:rPr>
          <w:rFonts w:ascii="Times New Roman" w:hAnsi="Times New Roman"/>
          <w:iCs/>
        </w:rPr>
        <w:t xml:space="preserve"> considerations should be addressed</w:t>
      </w:r>
      <w:r w:rsidR="00821D72" w:rsidRPr="002854F3">
        <w:rPr>
          <w:rFonts w:ascii="Times New Roman" w:hAnsi="Times New Roman"/>
          <w:iCs/>
        </w:rPr>
        <w:t xml:space="preserve"> when employing more advanced laboratory measures</w:t>
      </w:r>
      <w:r w:rsidR="00D943C7" w:rsidRPr="002854F3">
        <w:rPr>
          <w:rFonts w:ascii="Times New Roman" w:hAnsi="Times New Roman"/>
          <w:iCs/>
        </w:rPr>
        <w:t>:</w:t>
      </w:r>
      <w:r w:rsidRPr="002854F3">
        <w:rPr>
          <w:rFonts w:ascii="Times New Roman" w:hAnsi="Times New Roman"/>
          <w:iCs/>
        </w:rPr>
        <w:t xml:space="preserve">  Is there a clear evidence base for using this laboratory measure for clinical </w:t>
      </w:r>
      <w:r w:rsidR="007613BF" w:rsidRPr="002854F3">
        <w:rPr>
          <w:rFonts w:ascii="Times New Roman" w:hAnsi="Times New Roman"/>
          <w:iCs/>
        </w:rPr>
        <w:t xml:space="preserve">and therapeutic </w:t>
      </w:r>
      <w:r w:rsidR="00D10F6F" w:rsidRPr="002854F3">
        <w:rPr>
          <w:rFonts w:ascii="Times New Roman" w:hAnsi="Times New Roman"/>
          <w:iCs/>
        </w:rPr>
        <w:t>decision making</w:t>
      </w:r>
      <w:r w:rsidRPr="002854F3">
        <w:rPr>
          <w:rFonts w:ascii="Times New Roman" w:hAnsi="Times New Roman"/>
          <w:iCs/>
        </w:rPr>
        <w:t xml:space="preserve">? </w:t>
      </w:r>
      <w:r w:rsidR="007613BF" w:rsidRPr="002854F3">
        <w:rPr>
          <w:rFonts w:ascii="Times New Roman" w:hAnsi="Times New Roman"/>
          <w:iCs/>
        </w:rPr>
        <w:t xml:space="preserve"> What is the added cost of this laboratory measure(s) and who</w:t>
      </w:r>
      <w:r w:rsidR="00F05992" w:rsidRPr="002854F3">
        <w:rPr>
          <w:rFonts w:ascii="Times New Roman" w:hAnsi="Times New Roman"/>
          <w:iCs/>
        </w:rPr>
        <w:t xml:space="preserve"> pays</w:t>
      </w:r>
      <w:r w:rsidR="007613BF" w:rsidRPr="002854F3">
        <w:rPr>
          <w:rFonts w:ascii="Times New Roman" w:hAnsi="Times New Roman"/>
          <w:iCs/>
        </w:rPr>
        <w:t xml:space="preserve">? </w:t>
      </w:r>
      <w:r w:rsidRPr="002854F3">
        <w:rPr>
          <w:rFonts w:ascii="Times New Roman" w:hAnsi="Times New Roman"/>
          <w:iCs/>
        </w:rPr>
        <w:t xml:space="preserve"> Is this test measure an independent risk predi</w:t>
      </w:r>
      <w:r w:rsidR="00D10F6F" w:rsidRPr="002854F3">
        <w:rPr>
          <w:rFonts w:ascii="Times New Roman" w:hAnsi="Times New Roman"/>
          <w:iCs/>
        </w:rPr>
        <w:t>ctor and/or a target of therapy</w:t>
      </w:r>
      <w:r w:rsidRPr="002854F3">
        <w:rPr>
          <w:rFonts w:ascii="Times New Roman" w:hAnsi="Times New Roman"/>
          <w:iCs/>
        </w:rPr>
        <w:t>?  Does it provide cons</w:t>
      </w:r>
      <w:r w:rsidR="00D10F6F" w:rsidRPr="002854F3">
        <w:rPr>
          <w:rFonts w:ascii="Times New Roman" w:hAnsi="Times New Roman"/>
          <w:iCs/>
        </w:rPr>
        <w:t xml:space="preserve">istent and </w:t>
      </w:r>
      <w:r w:rsidR="00D10F6F" w:rsidRPr="002854F3">
        <w:rPr>
          <w:rFonts w:ascii="Times New Roman" w:hAnsi="Times New Roman"/>
          <w:iCs/>
        </w:rPr>
        <w:lastRenderedPageBreak/>
        <w:t>reproducible results</w:t>
      </w:r>
      <w:r w:rsidRPr="002854F3">
        <w:rPr>
          <w:rFonts w:ascii="Times New Roman" w:hAnsi="Times New Roman"/>
          <w:iCs/>
        </w:rPr>
        <w:t xml:space="preserve">?  Is it well validated and standardized from </w:t>
      </w:r>
      <w:r w:rsidR="00D10F6F" w:rsidRPr="002854F3">
        <w:rPr>
          <w:rFonts w:ascii="Times New Roman" w:hAnsi="Times New Roman"/>
          <w:iCs/>
        </w:rPr>
        <w:t>a clinical chemistry standpoint</w:t>
      </w:r>
      <w:r w:rsidRPr="002854F3">
        <w:rPr>
          <w:rFonts w:ascii="Times New Roman" w:hAnsi="Times New Roman"/>
          <w:iCs/>
        </w:rPr>
        <w:t>?</w:t>
      </w:r>
      <w:r w:rsidR="00DC39D7" w:rsidRPr="002854F3">
        <w:rPr>
          <w:rFonts w:ascii="Times New Roman" w:hAnsi="Times New Roman"/>
          <w:iCs/>
        </w:rPr>
        <w:t xml:space="preserve">  </w:t>
      </w:r>
      <w:r w:rsidR="002A0AFB">
        <w:rPr>
          <w:rFonts w:ascii="Times New Roman" w:hAnsi="Times New Roman"/>
          <w:iCs/>
        </w:rPr>
        <w:t>The question</w:t>
      </w:r>
      <w:r w:rsidR="000E1491" w:rsidRPr="002854F3">
        <w:rPr>
          <w:rFonts w:ascii="Times New Roman" w:hAnsi="Times New Roman"/>
          <w:iCs/>
        </w:rPr>
        <w:t xml:space="preserve"> is frequently asked if insurers and health plans will reimburse these advanced tests instead of considering them “experimental”. The answer is that third parties generally look for the most conservative evidence-based justification for such assays – e.g., the </w:t>
      </w:r>
      <w:r w:rsidR="007D61E8">
        <w:rPr>
          <w:rFonts w:ascii="Times New Roman" w:hAnsi="Times New Roman"/>
          <w:iCs/>
        </w:rPr>
        <w:t>USPSTF CHD screening guidelines which are</w:t>
      </w:r>
      <w:r w:rsidR="000E1491" w:rsidRPr="002854F3">
        <w:rPr>
          <w:rFonts w:ascii="Times New Roman" w:hAnsi="Times New Roman"/>
          <w:iCs/>
        </w:rPr>
        <w:t xml:space="preserve"> not likely to paint broad support for the routine use of many of these tests.</w:t>
      </w:r>
      <w:r w:rsidR="002854F3" w:rsidRPr="002854F3">
        <w:rPr>
          <w:rFonts w:ascii="Times New Roman" w:hAnsi="Times New Roman"/>
          <w:iCs/>
        </w:rPr>
        <w:t xml:space="preserve">  See</w:t>
      </w:r>
      <w:r w:rsidR="002854F3">
        <w:rPr>
          <w:rFonts w:ascii="Times New Roman" w:hAnsi="Times New Roman"/>
          <w:iCs/>
        </w:rPr>
        <w:t xml:space="preserve"> the recent paper by</w:t>
      </w:r>
      <w:r w:rsidR="002854F3" w:rsidRPr="002854F3">
        <w:rPr>
          <w:rFonts w:ascii="Times New Roman" w:hAnsi="Times New Roman"/>
          <w:iCs/>
        </w:rPr>
        <w:t xml:space="preserve"> </w:t>
      </w:r>
      <w:r w:rsidR="002854F3">
        <w:rPr>
          <w:rFonts w:ascii="Times New Roman" w:hAnsi="Times New Roman"/>
          <w:iCs/>
        </w:rPr>
        <w:t xml:space="preserve">J. </w:t>
      </w:r>
      <w:r w:rsidR="002854F3" w:rsidRPr="002854F3">
        <w:rPr>
          <w:rFonts w:ascii="Times New Roman" w:hAnsi="Times New Roman"/>
          <w:iCs/>
        </w:rPr>
        <w:t>Robinson</w:t>
      </w:r>
      <w:r w:rsidR="002854F3">
        <w:rPr>
          <w:rFonts w:ascii="Times New Roman" w:hAnsi="Times New Roman"/>
          <w:iCs/>
        </w:rPr>
        <w:t>:</w:t>
      </w:r>
      <w:r w:rsidR="002854F3" w:rsidRPr="002854F3">
        <w:rPr>
          <w:rFonts w:ascii="Times New Roman" w:hAnsi="Times New Roman"/>
          <w:iCs/>
        </w:rPr>
        <w:t xml:space="preserve"> </w:t>
      </w:r>
      <w:r w:rsidR="002854F3" w:rsidRPr="002854F3">
        <w:rPr>
          <w:rFonts w:ascii="Times New Roman" w:hAnsi="Times New Roman"/>
          <w:i/>
          <w:snapToGrid/>
          <w:color w:val="000000" w:themeColor="text1"/>
          <w:szCs w:val="24"/>
        </w:rPr>
        <w:t>What Is the Role of Advanced Lipoprotein Analysis in Practice?</w:t>
      </w:r>
      <w:r w:rsidR="009C6DDC">
        <w:rPr>
          <w:rFonts w:ascii="Times New Roman" w:hAnsi="Times New Roman"/>
          <w:i/>
          <w:color w:val="000000" w:themeColor="text1"/>
          <w:szCs w:val="24"/>
        </w:rPr>
        <w:t xml:space="preserve"> JACC 2012;</w:t>
      </w:r>
      <w:r w:rsidR="002854F3" w:rsidRPr="002854F3">
        <w:rPr>
          <w:rFonts w:ascii="Times New Roman" w:hAnsi="Times New Roman"/>
          <w:i/>
          <w:snapToGrid/>
          <w:color w:val="000000" w:themeColor="text1"/>
          <w:szCs w:val="24"/>
        </w:rPr>
        <w:t>60:2607–15.</w:t>
      </w:r>
      <w:r w:rsidR="00312894">
        <w:rPr>
          <w:rFonts w:ascii="Times New Roman" w:hAnsi="Times New Roman"/>
          <w:i/>
          <w:snapToGrid/>
          <w:color w:val="000000" w:themeColor="text1"/>
          <w:szCs w:val="24"/>
        </w:rPr>
        <w:t xml:space="preserve"> </w:t>
      </w:r>
      <w:r w:rsidR="00312894" w:rsidRPr="00312894">
        <w:rPr>
          <w:rFonts w:ascii="Times New Roman" w:hAnsi="Times New Roman"/>
          <w:snapToGrid/>
          <w:color w:val="000000" w:themeColor="text1"/>
          <w:szCs w:val="24"/>
        </w:rPr>
        <w:t>Su</w:t>
      </w:r>
      <w:r w:rsidR="00312894">
        <w:rPr>
          <w:rFonts w:ascii="Times New Roman" w:hAnsi="Times New Roman"/>
          <w:snapToGrid/>
          <w:color w:val="000000" w:themeColor="text1"/>
          <w:szCs w:val="24"/>
        </w:rPr>
        <w:t>ch a position in no way ignores</w:t>
      </w:r>
      <w:r w:rsidR="00312894" w:rsidRPr="00312894">
        <w:rPr>
          <w:rFonts w:ascii="Times New Roman" w:hAnsi="Times New Roman"/>
          <w:snapToGrid/>
          <w:color w:val="000000" w:themeColor="text1"/>
          <w:szCs w:val="24"/>
        </w:rPr>
        <w:t xml:space="preserve"> the utility of advanced lipoprotein assessment in individual patient cases</w:t>
      </w:r>
      <w:r w:rsidR="00312894">
        <w:rPr>
          <w:rFonts w:ascii="Times New Roman" w:hAnsi="Times New Roman"/>
          <w:snapToGrid/>
          <w:color w:val="000000" w:themeColor="text1"/>
          <w:szCs w:val="24"/>
        </w:rPr>
        <w:t xml:space="preserve"> that warrant a higher level of assessment</w:t>
      </w:r>
      <w:r w:rsidR="00312894" w:rsidRPr="00312894">
        <w:rPr>
          <w:rFonts w:ascii="Times New Roman" w:hAnsi="Times New Roman"/>
          <w:snapToGrid/>
          <w:color w:val="000000" w:themeColor="text1"/>
          <w:szCs w:val="24"/>
        </w:rPr>
        <w:t>.</w:t>
      </w:r>
    </w:p>
    <w:p w:rsidR="00F617A0" w:rsidRPr="002854F3" w:rsidRDefault="00F617A0" w:rsidP="00775FB0">
      <w:pPr>
        <w:pStyle w:val="Titlesheet1"/>
        <w:spacing w:line="240" w:lineRule="auto"/>
        <w:ind w:left="0" w:firstLine="0"/>
        <w:jc w:val="left"/>
        <w:rPr>
          <w:b w:val="0"/>
          <w:iCs/>
          <w:color w:val="000000" w:themeColor="text1"/>
          <w:sz w:val="24"/>
        </w:rPr>
      </w:pPr>
    </w:p>
    <w:p w:rsidR="006C326D" w:rsidRPr="002B668B" w:rsidRDefault="00775FB0" w:rsidP="00833BE0">
      <w:pPr>
        <w:pStyle w:val="Titlesheet1"/>
        <w:spacing w:line="240" w:lineRule="auto"/>
        <w:ind w:left="0" w:firstLine="0"/>
        <w:jc w:val="left"/>
        <w:rPr>
          <w:b w:val="0"/>
          <w:i/>
          <w:sz w:val="24"/>
        </w:rPr>
      </w:pPr>
      <w:r w:rsidRPr="00775FB0">
        <w:rPr>
          <w:b w:val="0"/>
          <w:iCs/>
          <w:sz w:val="24"/>
        </w:rPr>
        <w:t>As a helpful resource</w:t>
      </w:r>
      <w:r>
        <w:rPr>
          <w:b w:val="0"/>
          <w:iCs/>
          <w:sz w:val="24"/>
        </w:rPr>
        <w:t xml:space="preserve"> and scientifically-based recommendations on advanced lipoprotein and biomarker testing</w:t>
      </w:r>
      <w:r w:rsidRPr="00775FB0">
        <w:rPr>
          <w:b w:val="0"/>
          <w:iCs/>
          <w:sz w:val="24"/>
        </w:rPr>
        <w:t xml:space="preserve"> the NLA</w:t>
      </w:r>
      <w:r w:rsidR="00EC33ED">
        <w:rPr>
          <w:b w:val="0"/>
          <w:iCs/>
          <w:sz w:val="24"/>
        </w:rPr>
        <w:t>’s Journal of Clinical Lipidology has recently published</w:t>
      </w:r>
      <w:r w:rsidR="00305CD3">
        <w:rPr>
          <w:b w:val="0"/>
          <w:iCs/>
          <w:sz w:val="24"/>
        </w:rPr>
        <w:t xml:space="preserve"> </w:t>
      </w:r>
      <w:r w:rsidRPr="00775FB0">
        <w:rPr>
          <w:b w:val="0"/>
          <w:iCs/>
          <w:sz w:val="24"/>
        </w:rPr>
        <w:t>(</w:t>
      </w:r>
      <w:r w:rsidR="00EC33ED">
        <w:rPr>
          <w:b w:val="0"/>
          <w:iCs/>
          <w:sz w:val="24"/>
        </w:rPr>
        <w:t>2011;5:338-367</w:t>
      </w:r>
      <w:r w:rsidRPr="00775FB0">
        <w:rPr>
          <w:b w:val="0"/>
          <w:iCs/>
          <w:sz w:val="24"/>
        </w:rPr>
        <w:t>)</w:t>
      </w:r>
      <w:r>
        <w:rPr>
          <w:b w:val="0"/>
          <w:iCs/>
          <w:sz w:val="24"/>
        </w:rPr>
        <w:t xml:space="preserve"> the document:</w:t>
      </w:r>
      <w:r w:rsidRPr="00775FB0">
        <w:rPr>
          <w:b w:val="0"/>
          <w:bCs/>
          <w:sz w:val="24"/>
        </w:rPr>
        <w:t xml:space="preserve"> </w:t>
      </w:r>
      <w:r w:rsidRPr="00775FB0">
        <w:rPr>
          <w:b w:val="0"/>
          <w:bCs/>
          <w:i/>
          <w:sz w:val="24"/>
        </w:rPr>
        <w:t>Clinical Utility of Inflammatory Markers and Advanced Lipoprotein Testing: Advice from an Expert Panel of Lipid Specialists</w:t>
      </w:r>
      <w:r>
        <w:rPr>
          <w:b w:val="0"/>
          <w:bCs/>
          <w:sz w:val="24"/>
        </w:rPr>
        <w:t xml:space="preserve"> </w:t>
      </w:r>
      <w:r w:rsidRPr="00775FB0">
        <w:rPr>
          <w:b w:val="0"/>
          <w:bCs/>
          <w:sz w:val="24"/>
        </w:rPr>
        <w:t xml:space="preserve">by </w:t>
      </w:r>
      <w:r>
        <w:rPr>
          <w:b w:val="0"/>
          <w:bCs/>
          <w:sz w:val="24"/>
        </w:rPr>
        <w:t xml:space="preserve">the </w:t>
      </w:r>
      <w:r w:rsidRPr="00775FB0">
        <w:rPr>
          <w:b w:val="0"/>
          <w:bCs/>
          <w:i/>
          <w:sz w:val="24"/>
        </w:rPr>
        <w:t xml:space="preserve">NLA Expert </w:t>
      </w:r>
      <w:r w:rsidRPr="00775FB0">
        <w:rPr>
          <w:b w:val="0"/>
          <w:i/>
          <w:sz w:val="24"/>
        </w:rPr>
        <w:t>Panel on Biomarker Testing</w:t>
      </w:r>
      <w:r>
        <w:rPr>
          <w:b w:val="0"/>
          <w:sz w:val="24"/>
        </w:rPr>
        <w:t xml:space="preserve">, </w:t>
      </w:r>
      <w:r w:rsidR="002B668B" w:rsidRPr="00751855">
        <w:rPr>
          <w:b w:val="0"/>
          <w:i/>
          <w:sz w:val="24"/>
        </w:rPr>
        <w:t xml:space="preserve">by </w:t>
      </w:r>
      <w:r w:rsidR="00305CD3" w:rsidRPr="002B668B">
        <w:rPr>
          <w:b w:val="0"/>
          <w:i/>
          <w:sz w:val="24"/>
        </w:rPr>
        <w:t xml:space="preserve">Michael H. </w:t>
      </w:r>
      <w:r w:rsidR="00305CD3" w:rsidRPr="002B668B">
        <w:rPr>
          <w:rFonts w:eastAsia="Calibri"/>
          <w:b w:val="0"/>
          <w:i/>
          <w:sz w:val="24"/>
        </w:rPr>
        <w:t>Davidson, M.D.,</w:t>
      </w:r>
      <w:r w:rsidR="002B668B">
        <w:rPr>
          <w:rFonts w:eastAsia="Calibri"/>
          <w:b w:val="0"/>
          <w:i/>
          <w:sz w:val="24"/>
        </w:rPr>
        <w:t xml:space="preserve"> Chair, et.al.</w:t>
      </w:r>
    </w:p>
    <w:p w:rsidR="006C326D" w:rsidRPr="006C326D" w:rsidRDefault="006C326D" w:rsidP="006C326D">
      <w:pPr>
        <w:rPr>
          <w:rFonts w:ascii="Times New Roman" w:hAnsi="Times New Roman"/>
        </w:rPr>
      </w:pPr>
      <w:r w:rsidRPr="006C326D">
        <w:rPr>
          <w:rFonts w:ascii="Times New Roman" w:hAnsi="Times New Roman"/>
          <w:iCs/>
        </w:rPr>
        <w:t xml:space="preserve">  </w:t>
      </w:r>
    </w:p>
    <w:p w:rsidR="00154701" w:rsidRDefault="00154701">
      <w:pPr>
        <w:rPr>
          <w:rFonts w:ascii="Times New Roman" w:hAnsi="Times New Roman"/>
        </w:rPr>
      </w:pPr>
    </w:p>
    <w:p w:rsidR="00154701" w:rsidRPr="001D2148" w:rsidRDefault="00482F81" w:rsidP="00CB1F67">
      <w:pPr>
        <w:rPr>
          <w:rFonts w:ascii="Times New Roman" w:hAnsi="Times New Roman"/>
          <w:b/>
        </w:rPr>
      </w:pPr>
      <w:r>
        <w:rPr>
          <w:rFonts w:ascii="Times New Roman" w:hAnsi="Times New Roman"/>
          <w:b/>
        </w:rPr>
        <w:t>5</w:t>
      </w:r>
      <w:r w:rsidR="00CB1F67">
        <w:rPr>
          <w:rFonts w:ascii="Times New Roman" w:hAnsi="Times New Roman"/>
          <w:b/>
        </w:rPr>
        <w:t xml:space="preserve">.  </w:t>
      </w:r>
      <w:r w:rsidR="00154701" w:rsidRPr="001D2148">
        <w:rPr>
          <w:rFonts w:ascii="Times New Roman" w:hAnsi="Times New Roman"/>
          <w:b/>
        </w:rPr>
        <w:t xml:space="preserve">Organized and </w:t>
      </w:r>
      <w:r w:rsidR="00B2433A">
        <w:rPr>
          <w:rFonts w:ascii="Times New Roman" w:hAnsi="Times New Roman"/>
          <w:b/>
        </w:rPr>
        <w:t>current</w:t>
      </w:r>
      <w:r w:rsidR="00154701" w:rsidRPr="001D2148">
        <w:rPr>
          <w:rFonts w:ascii="Times New Roman" w:hAnsi="Times New Roman"/>
          <w:b/>
        </w:rPr>
        <w:t xml:space="preserve"> treatment plan</w:t>
      </w:r>
    </w:p>
    <w:p w:rsidR="00154701" w:rsidRDefault="00154701">
      <w:pPr>
        <w:rPr>
          <w:rFonts w:ascii="Times New Roman" w:hAnsi="Times New Roman"/>
        </w:rPr>
      </w:pPr>
    </w:p>
    <w:p w:rsidR="00154701" w:rsidRDefault="00154701">
      <w:pPr>
        <w:rPr>
          <w:rFonts w:ascii="Times New Roman" w:hAnsi="Times New Roman"/>
        </w:rPr>
      </w:pPr>
      <w:r>
        <w:rPr>
          <w:rFonts w:ascii="Times New Roman" w:hAnsi="Times New Roman"/>
        </w:rPr>
        <w:t>Clearly defined and written treatment pathways provide a vehicle that ensures consistency for all lipid clinic staff members.  Lipid clinics should have a clear and ever-evolving treatment plan (i</w:t>
      </w:r>
      <w:r w:rsidR="00537F17">
        <w:rPr>
          <w:rFonts w:ascii="Times New Roman" w:hAnsi="Times New Roman"/>
        </w:rPr>
        <w:t>.</w:t>
      </w:r>
      <w:r>
        <w:rPr>
          <w:rFonts w:ascii="Times New Roman" w:hAnsi="Times New Roman"/>
        </w:rPr>
        <w:t>e. algorithm) that specifies and prioritizes what class and choice of therapy for each magnitude/level of each lipid and lipoprotein (e</w:t>
      </w:r>
      <w:r w:rsidR="00537F17">
        <w:rPr>
          <w:rFonts w:ascii="Times New Roman" w:hAnsi="Times New Roman"/>
        </w:rPr>
        <w:t>.</w:t>
      </w:r>
      <w:r>
        <w:rPr>
          <w:rFonts w:ascii="Times New Roman" w:hAnsi="Times New Roman"/>
        </w:rPr>
        <w:t>g.</w:t>
      </w:r>
      <w:r w:rsidR="009763A5">
        <w:rPr>
          <w:rFonts w:ascii="Times New Roman" w:hAnsi="Times New Roman"/>
        </w:rPr>
        <w:t>,</w:t>
      </w:r>
      <w:r>
        <w:rPr>
          <w:rFonts w:ascii="Times New Roman" w:hAnsi="Times New Roman"/>
        </w:rPr>
        <w:t xml:space="preserve"> elevated LDL, elevated TG, elevated LDL </w:t>
      </w:r>
      <w:r w:rsidR="00B2433A">
        <w:rPr>
          <w:rFonts w:ascii="Times New Roman" w:hAnsi="Times New Roman"/>
        </w:rPr>
        <w:t>&amp; TG,  and low HDL-C</w:t>
      </w:r>
      <w:r>
        <w:rPr>
          <w:rFonts w:ascii="Times New Roman" w:hAnsi="Times New Roman"/>
        </w:rPr>
        <w:t xml:space="preserve">).  There are many formats for dyslipidemia treatment plans but essentially there should be at least two choices of therapy for each level of dyslipidemia.   Well-defined treatment plans authored, signed, and annually reviewed by a physician or physician-directed consensus panel also provide a therapy titration guide for nonphysician practitioners and should be reviewed and updated at least annually. </w:t>
      </w:r>
      <w:r w:rsidR="00E6000C">
        <w:rPr>
          <w:rFonts w:ascii="Times New Roman" w:hAnsi="Times New Roman"/>
        </w:rPr>
        <w:t xml:space="preserve">  In most health care settings a physician-authored treatment plan/pathway extends prescriptive “authority” to qualified and competent physician extenders. </w:t>
      </w:r>
      <w:r>
        <w:rPr>
          <w:rFonts w:ascii="Times New Roman" w:hAnsi="Times New Roman"/>
        </w:rPr>
        <w:t xml:space="preserve"> It is important to know that the</w:t>
      </w:r>
      <w:r w:rsidR="00DD3AB2">
        <w:rPr>
          <w:rFonts w:ascii="Times New Roman" w:hAnsi="Times New Roman"/>
        </w:rPr>
        <w:t xml:space="preserve"> NLA,</w:t>
      </w:r>
      <w:r>
        <w:rPr>
          <w:rFonts w:ascii="Times New Roman" w:hAnsi="Times New Roman"/>
        </w:rPr>
        <w:t xml:space="preserve"> </w:t>
      </w:r>
      <w:r w:rsidR="00CB0D68">
        <w:rPr>
          <w:rFonts w:ascii="Times New Roman" w:hAnsi="Times New Roman"/>
        </w:rPr>
        <w:t>IAS or ACC/AHA cholesterol</w:t>
      </w:r>
      <w:r w:rsidR="00DD3AB2">
        <w:rPr>
          <w:rFonts w:ascii="Times New Roman" w:hAnsi="Times New Roman"/>
        </w:rPr>
        <w:t xml:space="preserve"> recommendations/</w:t>
      </w:r>
      <w:r w:rsidR="00CB0D68">
        <w:rPr>
          <w:rFonts w:ascii="Times New Roman" w:hAnsi="Times New Roman"/>
        </w:rPr>
        <w:t>guidelines</w:t>
      </w:r>
      <w:r>
        <w:rPr>
          <w:rFonts w:ascii="Times New Roman" w:hAnsi="Times New Roman"/>
        </w:rPr>
        <w:t xml:space="preserve"> are not a defined treatment pathway but can be very helpful in the process of writing one.  </w:t>
      </w:r>
      <w:r w:rsidR="00CB0D68">
        <w:rPr>
          <w:rFonts w:ascii="Times New Roman" w:hAnsi="Times New Roman"/>
        </w:rPr>
        <w:t>See</w:t>
      </w:r>
      <w:r>
        <w:rPr>
          <w:rFonts w:ascii="Times New Roman" w:hAnsi="Times New Roman"/>
        </w:rPr>
        <w:t xml:space="preserve"> </w:t>
      </w:r>
      <w:r w:rsidR="00F204A4" w:rsidRPr="00D71424">
        <w:rPr>
          <w:rFonts w:ascii="Times New Roman" w:hAnsi="Times New Roman"/>
          <w:i/>
        </w:rPr>
        <w:t>201</w:t>
      </w:r>
      <w:r w:rsidR="009C6DDC">
        <w:rPr>
          <w:rFonts w:ascii="Times New Roman" w:hAnsi="Times New Roman"/>
          <w:i/>
        </w:rPr>
        <w:t>4</w:t>
      </w:r>
      <w:r w:rsidR="00F204A4" w:rsidRPr="00D71424">
        <w:rPr>
          <w:rFonts w:ascii="Times New Roman" w:hAnsi="Times New Roman"/>
          <w:i/>
        </w:rPr>
        <w:t xml:space="preserve"> </w:t>
      </w:r>
      <w:r w:rsidRPr="00D71424">
        <w:rPr>
          <w:rFonts w:ascii="Times New Roman" w:hAnsi="Times New Roman"/>
          <w:i/>
        </w:rPr>
        <w:t xml:space="preserve">Treatment Plan </w:t>
      </w:r>
      <w:r w:rsidR="00B13285">
        <w:rPr>
          <w:rFonts w:ascii="Times New Roman" w:hAnsi="Times New Roman"/>
          <w:i/>
        </w:rPr>
        <w:t>Template</w:t>
      </w:r>
      <w:r>
        <w:rPr>
          <w:rFonts w:ascii="Times New Roman" w:hAnsi="Times New Roman"/>
        </w:rPr>
        <w:t xml:space="preserve"> </w:t>
      </w:r>
      <w:r w:rsidR="00CB0D68">
        <w:rPr>
          <w:rFonts w:ascii="Times New Roman" w:hAnsi="Times New Roman"/>
        </w:rPr>
        <w:t>provided during the LCMRP staff in-service.</w:t>
      </w:r>
    </w:p>
    <w:p w:rsidR="00154701" w:rsidRDefault="00154701">
      <w:pPr>
        <w:rPr>
          <w:rFonts w:ascii="Times New Roman" w:hAnsi="Times New Roman"/>
        </w:rPr>
      </w:pPr>
    </w:p>
    <w:p w:rsidR="00154701" w:rsidRDefault="00154701">
      <w:pPr>
        <w:rPr>
          <w:rFonts w:ascii="Times New Roman" w:hAnsi="Times New Roman"/>
        </w:rPr>
      </w:pPr>
      <w:r>
        <w:rPr>
          <w:rFonts w:ascii="Times New Roman" w:hAnsi="Times New Roman"/>
        </w:rPr>
        <w:t xml:space="preserve">  </w:t>
      </w:r>
    </w:p>
    <w:p w:rsidR="00154701" w:rsidRPr="001D2148" w:rsidRDefault="00482F81" w:rsidP="00CB1F67">
      <w:pPr>
        <w:rPr>
          <w:rFonts w:ascii="Times New Roman" w:hAnsi="Times New Roman"/>
          <w:b/>
        </w:rPr>
      </w:pPr>
      <w:r>
        <w:rPr>
          <w:rFonts w:ascii="Times New Roman" w:hAnsi="Times New Roman"/>
          <w:b/>
        </w:rPr>
        <w:t>6</w:t>
      </w:r>
      <w:r w:rsidR="00CB1F67">
        <w:rPr>
          <w:rFonts w:ascii="Times New Roman" w:hAnsi="Times New Roman"/>
          <w:b/>
        </w:rPr>
        <w:t xml:space="preserve">.  </w:t>
      </w:r>
      <w:r w:rsidR="00154701" w:rsidRPr="001D2148">
        <w:rPr>
          <w:rFonts w:ascii="Times New Roman" w:hAnsi="Times New Roman"/>
          <w:b/>
        </w:rPr>
        <w:t>Projecting income</w:t>
      </w:r>
    </w:p>
    <w:p w:rsidR="00154701" w:rsidRDefault="00154701">
      <w:pPr>
        <w:rPr>
          <w:rFonts w:ascii="Times New Roman" w:hAnsi="Times New Roman"/>
        </w:rPr>
      </w:pPr>
    </w:p>
    <w:p w:rsidR="00EB6985" w:rsidRDefault="00EB6985">
      <w:pPr>
        <w:rPr>
          <w:rFonts w:ascii="Times New Roman" w:hAnsi="Times New Roman"/>
        </w:rPr>
      </w:pPr>
      <w:r>
        <w:rPr>
          <w:rFonts w:ascii="Times New Roman" w:hAnsi="Times New Roman"/>
        </w:rPr>
        <w:t xml:space="preserve">Attaining solvency can be challenging particularly in outpatient physician office fee-for-service lipid clinic and CMR programs.  With little increase, no increase, or even decreases in Medicare allowable payments for office visits over the next 3-5 years we will have to be creative in how we choose, staff and deliver lipid and CMR services.  For now, the following are some key methods </w:t>
      </w:r>
      <w:r w:rsidR="00B666DF">
        <w:rPr>
          <w:rFonts w:ascii="Times New Roman" w:hAnsi="Times New Roman"/>
        </w:rPr>
        <w:t>that can</w:t>
      </w:r>
      <w:r>
        <w:rPr>
          <w:rFonts w:ascii="Times New Roman" w:hAnsi="Times New Roman"/>
        </w:rPr>
        <w:t xml:space="preserve"> help ensure a productive business model. </w:t>
      </w:r>
    </w:p>
    <w:p w:rsidR="00EB6985" w:rsidRDefault="00EB6985">
      <w:pPr>
        <w:rPr>
          <w:rFonts w:ascii="Times New Roman" w:hAnsi="Times New Roman"/>
        </w:rPr>
      </w:pPr>
    </w:p>
    <w:p w:rsidR="00154701" w:rsidRDefault="00154701">
      <w:pPr>
        <w:rPr>
          <w:rFonts w:ascii="Times New Roman" w:hAnsi="Times New Roman"/>
        </w:rPr>
      </w:pPr>
      <w:r>
        <w:rPr>
          <w:rFonts w:ascii="Times New Roman" w:hAnsi="Times New Roman"/>
        </w:rPr>
        <w:t>Ensure that you include all lipid clinic service related income.  This includes both billed visits and secondary revenue (e</w:t>
      </w:r>
      <w:r w:rsidR="00CC4E97">
        <w:rPr>
          <w:rFonts w:ascii="Times New Roman" w:hAnsi="Times New Roman"/>
        </w:rPr>
        <w:t>.</w:t>
      </w:r>
      <w:r>
        <w:rPr>
          <w:rFonts w:ascii="Times New Roman" w:hAnsi="Times New Roman"/>
        </w:rPr>
        <w:t>g. laboratory testing income).  For example, over the course of the first year of lipid management a relatively typical dyslipidemic patient in a li</w:t>
      </w:r>
      <w:r w:rsidR="00D64589">
        <w:rPr>
          <w:rFonts w:ascii="Times New Roman" w:hAnsi="Times New Roman"/>
        </w:rPr>
        <w:t xml:space="preserve">pid clinic service may </w:t>
      </w:r>
      <w:r w:rsidR="00D64589">
        <w:rPr>
          <w:rFonts w:ascii="Times New Roman" w:hAnsi="Times New Roman"/>
        </w:rPr>
        <w:lastRenderedPageBreak/>
        <w:t>require 3</w:t>
      </w:r>
      <w:r w:rsidR="009C6DDC">
        <w:rPr>
          <w:rFonts w:ascii="Times New Roman" w:hAnsi="Times New Roman"/>
        </w:rPr>
        <w:t xml:space="preserve"> blood lipid profiles, at least one </w:t>
      </w:r>
      <w:r>
        <w:rPr>
          <w:rFonts w:ascii="Times New Roman" w:hAnsi="Times New Roman"/>
        </w:rPr>
        <w:t>liver function test</w:t>
      </w:r>
      <w:r w:rsidR="009C6DDC">
        <w:rPr>
          <w:rFonts w:ascii="Times New Roman" w:hAnsi="Times New Roman"/>
        </w:rPr>
        <w:t>,  a</w:t>
      </w:r>
      <w:r>
        <w:rPr>
          <w:rFonts w:ascii="Times New Roman" w:hAnsi="Times New Roman"/>
        </w:rPr>
        <w:t xml:space="preserve"> CK evaluations in addition to other labs.  More complex dyslipidemias may require more advanced lipoprotein and/or apolipoprotein assays to make a definitive diagnosis and these should be included in your revenue projection.  The income g</w:t>
      </w:r>
      <w:r w:rsidR="0012075D">
        <w:rPr>
          <w:rFonts w:ascii="Times New Roman" w:hAnsi="Times New Roman"/>
        </w:rPr>
        <w:t xml:space="preserve">enerated from these tests along with </w:t>
      </w:r>
      <w:r>
        <w:rPr>
          <w:rFonts w:ascii="Times New Roman" w:hAnsi="Times New Roman"/>
        </w:rPr>
        <w:t>other tests which have been recommended on the basis of a lipid clinic visit, e</w:t>
      </w:r>
      <w:r w:rsidR="00CC4E97">
        <w:rPr>
          <w:rFonts w:ascii="Times New Roman" w:hAnsi="Times New Roman"/>
        </w:rPr>
        <w:t>.</w:t>
      </w:r>
      <w:r>
        <w:rPr>
          <w:rFonts w:ascii="Times New Roman" w:hAnsi="Times New Roman"/>
        </w:rPr>
        <w:t>g.</w:t>
      </w:r>
      <w:r w:rsidR="00CC4E97">
        <w:rPr>
          <w:rFonts w:ascii="Times New Roman" w:hAnsi="Times New Roman"/>
        </w:rPr>
        <w:t>,</w:t>
      </w:r>
      <w:r>
        <w:rPr>
          <w:rFonts w:ascii="Times New Roman" w:hAnsi="Times New Roman"/>
        </w:rPr>
        <w:t xml:space="preserve"> </w:t>
      </w:r>
      <w:r w:rsidR="00983EA3">
        <w:rPr>
          <w:rFonts w:ascii="Times New Roman" w:hAnsi="Times New Roman"/>
        </w:rPr>
        <w:t xml:space="preserve">lipoprotein particle analysis, </w:t>
      </w:r>
      <w:r w:rsidR="00F559B6">
        <w:rPr>
          <w:rFonts w:ascii="Times New Roman" w:hAnsi="Times New Roman"/>
        </w:rPr>
        <w:t xml:space="preserve">liver and kidney function, </w:t>
      </w:r>
      <w:r w:rsidR="00CC4E97">
        <w:rPr>
          <w:rFonts w:ascii="Times New Roman" w:hAnsi="Times New Roman"/>
        </w:rPr>
        <w:t xml:space="preserve">genetic tests, hsCRP, treadmill ECG’s, </w:t>
      </w:r>
      <w:r>
        <w:rPr>
          <w:rFonts w:ascii="Times New Roman" w:hAnsi="Times New Roman"/>
        </w:rPr>
        <w:t>etc. should be estimated and projected in the “benefit” side of your pro</w:t>
      </w:r>
      <w:r w:rsidR="00A01567">
        <w:rPr>
          <w:rFonts w:ascii="Times New Roman" w:hAnsi="Times New Roman"/>
        </w:rPr>
        <w:t xml:space="preserve"> </w:t>
      </w:r>
      <w:r>
        <w:rPr>
          <w:rFonts w:ascii="Times New Roman" w:hAnsi="Times New Roman"/>
        </w:rPr>
        <w:t xml:space="preserve">forma.  Depending on what laboratory you use your clinic group may not actually “benefit” from this laboratory income. </w:t>
      </w:r>
      <w:r w:rsidR="00072145">
        <w:rPr>
          <w:rFonts w:ascii="Times New Roman" w:hAnsi="Times New Roman"/>
        </w:rPr>
        <w:t xml:space="preserve"> With such a burgeoning array of “advanced” testing assays it will be important to formulate a protocol for when such testing is clinic</w:t>
      </w:r>
      <w:r w:rsidR="003C00CF">
        <w:rPr>
          <w:rFonts w:ascii="Times New Roman" w:hAnsi="Times New Roman"/>
        </w:rPr>
        <w:t>ally and economically justified as well as covered by the patient’s health plan.</w:t>
      </w:r>
    </w:p>
    <w:p w:rsidR="00154701" w:rsidRDefault="00154701">
      <w:pPr>
        <w:rPr>
          <w:rFonts w:ascii="Times New Roman" w:hAnsi="Times New Roman"/>
        </w:rPr>
      </w:pPr>
    </w:p>
    <w:p w:rsidR="00154701" w:rsidRDefault="00154701">
      <w:pPr>
        <w:rPr>
          <w:rFonts w:ascii="Times New Roman" w:hAnsi="Times New Roman"/>
        </w:rPr>
      </w:pPr>
      <w:r>
        <w:rPr>
          <w:rFonts w:ascii="Times New Roman" w:hAnsi="Times New Roman"/>
        </w:rPr>
        <w:t xml:space="preserve">It is paramount that all direct and indirect costs be projected and tracked including staff, counseling space, patient education materials, </w:t>
      </w:r>
      <w:r w:rsidR="001A577E">
        <w:rPr>
          <w:rFonts w:ascii="Times New Roman" w:hAnsi="Times New Roman"/>
        </w:rPr>
        <w:t>continuing staff education, etc.</w:t>
      </w:r>
      <w:r w:rsidR="00F85D85">
        <w:rPr>
          <w:rFonts w:ascii="Times New Roman" w:hAnsi="Times New Roman"/>
        </w:rPr>
        <w:t xml:space="preserve">  </w:t>
      </w:r>
      <w:r>
        <w:rPr>
          <w:rFonts w:ascii="Times New Roman" w:hAnsi="Times New Roman"/>
        </w:rPr>
        <w:t xml:space="preserve"> </w:t>
      </w:r>
      <w:r w:rsidR="00F85D85">
        <w:rPr>
          <w:rFonts w:ascii="Times New Roman" w:hAnsi="Times New Roman"/>
        </w:rPr>
        <w:t xml:space="preserve">Some lipid clinic settings, e.g., academic centers, find it very challenging to provide a break even service due to the multitude of institutional and facility costs associated with lipid clinic operations.  </w:t>
      </w:r>
      <w:r>
        <w:rPr>
          <w:rFonts w:ascii="Times New Roman" w:hAnsi="Times New Roman"/>
        </w:rPr>
        <w:t>A lipid clinic can</w:t>
      </w:r>
      <w:r w:rsidR="00F85D85">
        <w:rPr>
          <w:rFonts w:ascii="Times New Roman" w:hAnsi="Times New Roman"/>
        </w:rPr>
        <w:t xml:space="preserve"> clearly</w:t>
      </w:r>
      <w:r>
        <w:rPr>
          <w:rFonts w:ascii="Times New Roman" w:hAnsi="Times New Roman"/>
        </w:rPr>
        <w:t xml:space="preserve"> be solvent and can marginally contribute to bottom line revenue when specific procedures are followed and the clinic manager adopts reasonable business planning</w:t>
      </w:r>
      <w:r w:rsidR="00E651E8">
        <w:rPr>
          <w:rFonts w:ascii="Times New Roman" w:hAnsi="Times New Roman"/>
        </w:rPr>
        <w:t xml:space="preserve"> operational</w:t>
      </w:r>
      <w:r>
        <w:rPr>
          <w:rFonts w:ascii="Times New Roman" w:hAnsi="Times New Roman"/>
        </w:rPr>
        <w:t xml:space="preserve"> procedures.</w:t>
      </w:r>
      <w:r w:rsidR="00F85D85">
        <w:rPr>
          <w:rFonts w:ascii="Times New Roman" w:hAnsi="Times New Roman"/>
        </w:rPr>
        <w:t xml:space="preserve">  </w:t>
      </w:r>
      <w:r>
        <w:rPr>
          <w:rFonts w:ascii="Times New Roman" w:hAnsi="Times New Roman"/>
        </w:rPr>
        <w:t>Perhaps the most important of these is keeping new and return patient visit times to no more tha</w:t>
      </w:r>
      <w:r w:rsidR="004F1E64">
        <w:rPr>
          <w:rFonts w:ascii="Times New Roman" w:hAnsi="Times New Roman"/>
        </w:rPr>
        <w:t xml:space="preserve">n </w:t>
      </w:r>
      <w:r w:rsidR="009859DC">
        <w:rPr>
          <w:rFonts w:ascii="Times New Roman" w:hAnsi="Times New Roman"/>
        </w:rPr>
        <w:t>25</w:t>
      </w:r>
      <w:r>
        <w:rPr>
          <w:rFonts w:ascii="Times New Roman" w:hAnsi="Times New Roman"/>
        </w:rPr>
        <w:t xml:space="preserve"> and </w:t>
      </w:r>
      <w:r w:rsidR="00D8064A">
        <w:rPr>
          <w:rFonts w:ascii="Times New Roman" w:hAnsi="Times New Roman"/>
        </w:rPr>
        <w:t>15</w:t>
      </w:r>
      <w:r>
        <w:rPr>
          <w:rFonts w:ascii="Times New Roman" w:hAnsi="Times New Roman"/>
        </w:rPr>
        <w:t xml:space="preserve"> minutes respectively. </w:t>
      </w:r>
      <w:r w:rsidR="00CA5723">
        <w:rPr>
          <w:rFonts w:ascii="Times New Roman" w:hAnsi="Times New Roman"/>
        </w:rPr>
        <w:t>Cardiometabolic risk program</w:t>
      </w:r>
      <w:r w:rsidR="004F1E64">
        <w:rPr>
          <w:rFonts w:ascii="Times New Roman" w:hAnsi="Times New Roman"/>
        </w:rPr>
        <w:t xml:space="preserve"> visits may require slightly longer visit times in order to fully assess</w:t>
      </w:r>
      <w:r w:rsidR="00E651E8">
        <w:rPr>
          <w:rFonts w:ascii="Times New Roman" w:hAnsi="Times New Roman"/>
        </w:rPr>
        <w:t xml:space="preserve"> and manage</w:t>
      </w:r>
      <w:r w:rsidR="004F1E64">
        <w:rPr>
          <w:rFonts w:ascii="Times New Roman" w:hAnsi="Times New Roman"/>
        </w:rPr>
        <w:t xml:space="preserve"> lifestyle behavior.</w:t>
      </w:r>
    </w:p>
    <w:p w:rsidR="00154701" w:rsidRDefault="00154701">
      <w:pPr>
        <w:rPr>
          <w:rFonts w:ascii="Times New Roman" w:hAnsi="Times New Roman"/>
        </w:rPr>
      </w:pPr>
    </w:p>
    <w:p w:rsidR="00154701" w:rsidRDefault="00154701">
      <w:pPr>
        <w:rPr>
          <w:rFonts w:ascii="Times New Roman" w:hAnsi="Times New Roman"/>
        </w:rPr>
      </w:pPr>
      <w:r>
        <w:rPr>
          <w:rFonts w:ascii="Times New Roman" w:hAnsi="Times New Roman"/>
        </w:rPr>
        <w:t xml:space="preserve">When all of the operational expenses and space costs are considered, most lipid clinics operate at a small loss however this should not be a deterrent to inaugurating a service. When patients are chosen and managed appropriately significant improvements in health-related outcomes can be realized.   Perhaps the biggest obstacle to solvent operations is </w:t>
      </w:r>
      <w:r w:rsidR="00D745E7">
        <w:rPr>
          <w:rFonts w:ascii="Times New Roman" w:hAnsi="Times New Roman"/>
        </w:rPr>
        <w:t xml:space="preserve">unnecessary </w:t>
      </w:r>
      <w:r>
        <w:rPr>
          <w:rFonts w:ascii="Times New Roman" w:hAnsi="Times New Roman"/>
        </w:rPr>
        <w:t>lengthy return visits, e</w:t>
      </w:r>
      <w:r w:rsidR="00E5063A">
        <w:rPr>
          <w:rFonts w:ascii="Times New Roman" w:hAnsi="Times New Roman"/>
        </w:rPr>
        <w:t>.</w:t>
      </w:r>
      <w:r>
        <w:rPr>
          <w:rFonts w:ascii="Times New Roman" w:hAnsi="Times New Roman"/>
        </w:rPr>
        <w:t>g.</w:t>
      </w:r>
      <w:r w:rsidR="00E5063A">
        <w:rPr>
          <w:rFonts w:ascii="Times New Roman" w:hAnsi="Times New Roman"/>
        </w:rPr>
        <w:t>,</w:t>
      </w:r>
      <w:r>
        <w:rPr>
          <w:rFonts w:ascii="Times New Roman" w:hAnsi="Times New Roman"/>
        </w:rPr>
        <w:t xml:space="preserve"> &gt;</w:t>
      </w:r>
      <w:r w:rsidR="00CA5723">
        <w:rPr>
          <w:rFonts w:ascii="Times New Roman" w:hAnsi="Times New Roman"/>
        </w:rPr>
        <w:t>15</w:t>
      </w:r>
      <w:r>
        <w:rPr>
          <w:rFonts w:ascii="Times New Roman" w:hAnsi="Times New Roman"/>
        </w:rPr>
        <w:t xml:space="preserve"> minutes, and an </w:t>
      </w:r>
      <w:r w:rsidR="00D745E7">
        <w:rPr>
          <w:rFonts w:ascii="Times New Roman" w:hAnsi="Times New Roman"/>
        </w:rPr>
        <w:t>inefficient nonproductive</w:t>
      </w:r>
      <w:r>
        <w:rPr>
          <w:rFonts w:ascii="Times New Roman" w:hAnsi="Times New Roman"/>
        </w:rPr>
        <w:t xml:space="preserve"> patient scheduling template.  </w:t>
      </w:r>
      <w:r w:rsidR="00F47F6D">
        <w:rPr>
          <w:rFonts w:ascii="Times New Roman" w:hAnsi="Times New Roman"/>
        </w:rPr>
        <w:t xml:space="preserve">For example, </w:t>
      </w:r>
      <w:r w:rsidR="0012075D">
        <w:rPr>
          <w:rFonts w:ascii="Times New Roman" w:hAnsi="Times New Roman"/>
        </w:rPr>
        <w:t>30-</w:t>
      </w:r>
      <w:r>
        <w:rPr>
          <w:rFonts w:ascii="Times New Roman" w:hAnsi="Times New Roman"/>
        </w:rPr>
        <w:t>minute return visits take up</w:t>
      </w:r>
      <w:r w:rsidR="0012075D">
        <w:rPr>
          <w:rFonts w:ascii="Times New Roman" w:hAnsi="Times New Roman"/>
        </w:rPr>
        <w:t xml:space="preserve"> excessive</w:t>
      </w:r>
      <w:r>
        <w:rPr>
          <w:rFonts w:ascii="Times New Roman" w:hAnsi="Times New Roman"/>
        </w:rPr>
        <w:t xml:space="preserve"> staff time for the</w:t>
      </w:r>
      <w:r w:rsidR="0012075D">
        <w:rPr>
          <w:rFonts w:ascii="Times New Roman" w:hAnsi="Times New Roman"/>
        </w:rPr>
        <w:t xml:space="preserve"> billed level of service.</w:t>
      </w:r>
    </w:p>
    <w:p w:rsidR="002C0413" w:rsidRDefault="002C0413">
      <w:pPr>
        <w:rPr>
          <w:rFonts w:ascii="Times New Roman" w:hAnsi="Times New Roman"/>
        </w:rPr>
      </w:pPr>
    </w:p>
    <w:p w:rsidR="00154701" w:rsidRDefault="00154701">
      <w:pPr>
        <w:rPr>
          <w:rFonts w:ascii="Times New Roman" w:hAnsi="Times New Roman"/>
        </w:rPr>
      </w:pPr>
    </w:p>
    <w:p w:rsidR="002C0413" w:rsidRPr="002C0413" w:rsidRDefault="002C0413" w:rsidP="00F14E65">
      <w:pPr>
        <w:rPr>
          <w:rFonts w:ascii="Times New Roman" w:hAnsi="Times New Roman"/>
          <w:b/>
        </w:rPr>
      </w:pPr>
      <w:r w:rsidRPr="002C0413">
        <w:rPr>
          <w:rFonts w:ascii="Times New Roman" w:hAnsi="Times New Roman"/>
          <w:b/>
        </w:rPr>
        <w:t>7. Billing and coding guidelines and adherence to federal regulations</w:t>
      </w:r>
    </w:p>
    <w:p w:rsidR="002C0413" w:rsidRDefault="002C0413" w:rsidP="00F14E65">
      <w:pPr>
        <w:rPr>
          <w:rFonts w:ascii="Times New Roman" w:hAnsi="Times New Roman"/>
        </w:rPr>
      </w:pPr>
    </w:p>
    <w:p w:rsidR="00F14E65" w:rsidRPr="00467DD7" w:rsidRDefault="00154701" w:rsidP="00F14E65">
      <w:pPr>
        <w:rPr>
          <w:i/>
        </w:rPr>
      </w:pPr>
      <w:r>
        <w:rPr>
          <w:rFonts w:ascii="Times New Roman" w:hAnsi="Times New Roman"/>
        </w:rPr>
        <w:t>One key to reasonable revenue collection for lipid clinic services within a fee-for-service environment is efficient and productive use of allied health professionals (e</w:t>
      </w:r>
      <w:r w:rsidR="00F47F6D">
        <w:rPr>
          <w:rFonts w:ascii="Times New Roman" w:hAnsi="Times New Roman"/>
        </w:rPr>
        <w:t>.</w:t>
      </w:r>
      <w:r>
        <w:rPr>
          <w:rFonts w:ascii="Times New Roman" w:hAnsi="Times New Roman"/>
        </w:rPr>
        <w:t>g. nurse, physician’s assistant, dietician, pharmacist, exercise physiologist).</w:t>
      </w:r>
      <w:r w:rsidR="00F14E65">
        <w:rPr>
          <w:rFonts w:ascii="Times New Roman" w:hAnsi="Times New Roman"/>
        </w:rPr>
        <w:t xml:space="preserve"> </w:t>
      </w:r>
      <w:r w:rsidR="00467DD7">
        <w:rPr>
          <w:rFonts w:ascii="Times New Roman" w:hAnsi="Times New Roman"/>
        </w:rPr>
        <w:t xml:space="preserve"> An </w:t>
      </w:r>
      <w:r w:rsidR="00F14E65">
        <w:rPr>
          <w:rFonts w:ascii="Times New Roman" w:hAnsi="Times New Roman"/>
        </w:rPr>
        <w:t xml:space="preserve">important </w:t>
      </w:r>
      <w:r w:rsidR="00467DD7">
        <w:rPr>
          <w:rFonts w:ascii="Times New Roman" w:hAnsi="Times New Roman"/>
        </w:rPr>
        <w:t>document</w:t>
      </w:r>
      <w:r w:rsidR="00F14E65">
        <w:rPr>
          <w:rFonts w:ascii="Times New Roman" w:hAnsi="Times New Roman"/>
        </w:rPr>
        <w:t xml:space="preserve"> which will help explain </w:t>
      </w:r>
      <w:r w:rsidR="00467DD7">
        <w:rPr>
          <w:rFonts w:ascii="Times New Roman" w:hAnsi="Times New Roman"/>
        </w:rPr>
        <w:t>Medicare coverage for nonphysician practitioners from the</w:t>
      </w:r>
      <w:r w:rsidR="00F14E65">
        <w:rPr>
          <w:rFonts w:ascii="Times New Roman" w:hAnsi="Times New Roman"/>
        </w:rPr>
        <w:t xml:space="preserve"> Department of Health and Human Services, Office of the Inspector General: </w:t>
      </w:r>
      <w:r w:rsidR="00F14E65" w:rsidRPr="00F14E65">
        <w:rPr>
          <w:rFonts w:ascii="Times New Roman" w:hAnsi="Times New Roman"/>
          <w:u w:val="single"/>
        </w:rPr>
        <w:t>Prevalence and Qualifications of Nonphysicians Who Performed Medicare Physician Services, August 2009 OEI-09-06-00430</w:t>
      </w:r>
      <w:r w:rsidR="00467DD7">
        <w:rPr>
          <w:rFonts w:ascii="Times New Roman" w:hAnsi="Times New Roman"/>
          <w:u w:val="single"/>
        </w:rPr>
        <w:t>.</w:t>
      </w:r>
      <w:r w:rsidR="00F14E65" w:rsidRPr="00F14E65">
        <w:rPr>
          <w:rFonts w:ascii="Times New Roman" w:hAnsi="Times New Roman"/>
          <w:u w:val="single"/>
        </w:rPr>
        <w:t xml:space="preserve"> </w:t>
      </w:r>
      <w:r w:rsidR="00467DD7">
        <w:rPr>
          <w:rFonts w:ascii="Times New Roman" w:hAnsi="Times New Roman"/>
        </w:rPr>
        <w:t xml:space="preserve">Another helpful document on new rule changes is: </w:t>
      </w:r>
      <w:r w:rsidR="00F14E65" w:rsidRPr="00F14E65">
        <w:rPr>
          <w:rFonts w:ascii="Times New Roman" w:hAnsi="Times New Roman"/>
          <w:u w:val="single"/>
        </w:rPr>
        <w:t>Medicare Summary of Changes to the 201</w:t>
      </w:r>
      <w:r w:rsidR="00D35203">
        <w:rPr>
          <w:rFonts w:ascii="Times New Roman" w:hAnsi="Times New Roman"/>
          <w:u w:val="single"/>
        </w:rPr>
        <w:t>1</w:t>
      </w:r>
      <w:r w:rsidR="00F14E65" w:rsidRPr="00F14E65">
        <w:rPr>
          <w:rFonts w:ascii="Times New Roman" w:hAnsi="Times New Roman"/>
          <w:u w:val="single"/>
        </w:rPr>
        <w:t xml:space="preserve"> Physician Fee Schedule</w:t>
      </w:r>
      <w:r w:rsidR="00F14E65">
        <w:rPr>
          <w:rFonts w:ascii="Times New Roman" w:hAnsi="Times New Roman"/>
        </w:rPr>
        <w:t xml:space="preserve"> at:</w:t>
      </w:r>
      <w:r w:rsidR="00D75023" w:rsidRPr="00D75023">
        <w:t xml:space="preserve"> </w:t>
      </w:r>
      <w:hyperlink r:id="rId11" w:history="1">
        <w:r w:rsidR="00D75023" w:rsidRPr="00B01DFF">
          <w:rPr>
            <w:rStyle w:val="Hyperlink"/>
            <w:rFonts w:ascii="Times New Roman" w:hAnsi="Times New Roman"/>
          </w:rPr>
          <w:t>https://</w:t>
        </w:r>
        <w:r w:rsidR="00D75023" w:rsidRPr="00B01DFF">
          <w:rPr>
            <w:rStyle w:val="Hyperlink"/>
            <w:rFonts w:ascii="Times New Roman" w:hAnsi="Times New Roman"/>
            <w:i/>
          </w:rPr>
          <w:t>www.cms.gov/PhysicianFeeSched</w:t>
        </w:r>
        <w:r w:rsidR="00D75023" w:rsidRPr="00B01DFF">
          <w:rPr>
            <w:rStyle w:val="Hyperlink"/>
            <w:rFonts w:ascii="Times New Roman" w:hAnsi="Times New Roman"/>
          </w:rPr>
          <w:t>/</w:t>
        </w:r>
      </w:hyperlink>
      <w:r w:rsidR="00D75023">
        <w:rPr>
          <w:rFonts w:ascii="Times New Roman" w:hAnsi="Times New Roman"/>
        </w:rPr>
        <w:t>.  You can also search individual CPT codes and their current Medicare allowables for your specific U.S. locality at:</w:t>
      </w:r>
      <w:r w:rsidR="00D35203">
        <w:rPr>
          <w:rFonts w:ascii="Times New Roman" w:hAnsi="Times New Roman"/>
        </w:rPr>
        <w:t xml:space="preserve"> </w:t>
      </w:r>
      <w:r w:rsidR="00D35203" w:rsidRPr="00D35203">
        <w:rPr>
          <w:rFonts w:ascii="Times New Roman" w:hAnsi="Times New Roman"/>
          <w:i/>
        </w:rPr>
        <w:t>https://www.cms.gov/app</w:t>
      </w:r>
      <w:r w:rsidR="00D35203">
        <w:rPr>
          <w:rFonts w:ascii="Times New Roman" w:hAnsi="Times New Roman"/>
          <w:i/>
        </w:rPr>
        <w:t>s/physician-fee-schedule/search.</w:t>
      </w:r>
      <w:r w:rsidR="000B2CF4" w:rsidRPr="000B2CF4">
        <w:rPr>
          <w:rFonts w:ascii="Times New Roman" w:hAnsi="Times New Roman"/>
        </w:rPr>
        <w:t xml:space="preserve"> </w:t>
      </w:r>
      <w:r w:rsidR="000B2CF4">
        <w:rPr>
          <w:rFonts w:ascii="Times New Roman" w:hAnsi="Times New Roman"/>
        </w:rPr>
        <w:t>It is neither the purpose or responsibility of this document to fully discuss CPT coding but the following summarizes some of the essentials of nonphysician coding and billing.</w:t>
      </w:r>
    </w:p>
    <w:p w:rsidR="00F14E65" w:rsidRPr="00467DD7" w:rsidRDefault="00F14E65">
      <w:pPr>
        <w:rPr>
          <w:rFonts w:ascii="Times New Roman" w:hAnsi="Times New Roman"/>
          <w:i/>
        </w:rPr>
      </w:pPr>
    </w:p>
    <w:p w:rsidR="000B2CF4" w:rsidRDefault="000B2CF4" w:rsidP="000B2CF4">
      <w:pPr>
        <w:rPr>
          <w:rFonts w:ascii="Times New Roman" w:hAnsi="Times New Roman"/>
        </w:rPr>
      </w:pPr>
      <w:r>
        <w:rPr>
          <w:rFonts w:ascii="Times New Roman" w:hAnsi="Times New Roman"/>
        </w:rPr>
        <w:t xml:space="preserve">Nonphysician billing. </w:t>
      </w:r>
      <w:r w:rsidR="00CC4C2C">
        <w:rPr>
          <w:rFonts w:ascii="Times New Roman" w:hAnsi="Times New Roman"/>
        </w:rPr>
        <w:t>The M</w:t>
      </w:r>
      <w:r w:rsidR="00154701">
        <w:rPr>
          <w:rFonts w:ascii="Times New Roman" w:hAnsi="Times New Roman"/>
        </w:rPr>
        <w:t xml:space="preserve">edicare </w:t>
      </w:r>
      <w:r w:rsidR="00154701">
        <w:rPr>
          <w:rFonts w:ascii="Times New Roman" w:hAnsi="Times New Roman"/>
          <w:i/>
        </w:rPr>
        <w:t>Incident-to</w:t>
      </w:r>
      <w:r w:rsidR="00154701">
        <w:rPr>
          <w:rFonts w:ascii="Times New Roman" w:hAnsi="Times New Roman"/>
        </w:rPr>
        <w:t xml:space="preserve"> regulations provide that physicians may be reimbursed for services furnished by non-physicians "incident to" the physicians' professional </w:t>
      </w:r>
      <w:r w:rsidR="00154701">
        <w:rPr>
          <w:rFonts w:ascii="Times New Roman" w:hAnsi="Times New Roman"/>
        </w:rPr>
        <w:lastRenderedPageBreak/>
        <w:t xml:space="preserve">services.  Such non-physicians include: nurses, nurse practitioners, physician assistants, CDE’s, </w:t>
      </w:r>
      <w:r w:rsidR="00555794">
        <w:rPr>
          <w:rFonts w:ascii="Times New Roman" w:hAnsi="Times New Roman"/>
        </w:rPr>
        <w:t xml:space="preserve">clinical </w:t>
      </w:r>
      <w:r w:rsidR="00154701">
        <w:rPr>
          <w:rFonts w:ascii="Times New Roman" w:hAnsi="Times New Roman"/>
        </w:rPr>
        <w:t>exercise</w:t>
      </w:r>
      <w:r w:rsidR="00555794">
        <w:rPr>
          <w:rFonts w:ascii="Times New Roman" w:hAnsi="Times New Roman"/>
        </w:rPr>
        <w:t xml:space="preserve"> specialists/</w:t>
      </w:r>
      <w:r w:rsidR="00154701">
        <w:rPr>
          <w:rFonts w:ascii="Times New Roman" w:hAnsi="Times New Roman"/>
        </w:rPr>
        <w:t xml:space="preserve">physiologists, and dieticians.     Nurse practitioners, physician assistants, and clinical nurse specialists may bill at the higher </w:t>
      </w:r>
      <w:r w:rsidR="00157E66">
        <w:rPr>
          <w:rFonts w:ascii="Times New Roman" w:hAnsi="Times New Roman"/>
        </w:rPr>
        <w:t xml:space="preserve">CPT </w:t>
      </w:r>
      <w:r w:rsidR="00154701">
        <w:rPr>
          <w:rFonts w:ascii="Times New Roman" w:hAnsi="Times New Roman"/>
        </w:rPr>
        <w:t>established patient codes when the medical decision making and patient complexity for that visit warrants such billing</w:t>
      </w:r>
      <w:r>
        <w:rPr>
          <w:rFonts w:ascii="Times New Roman" w:hAnsi="Times New Roman"/>
        </w:rPr>
        <w:t xml:space="preserve"> (see second slide below)</w:t>
      </w:r>
      <w:r w:rsidR="00154701">
        <w:rPr>
          <w:rFonts w:ascii="Times New Roman" w:hAnsi="Times New Roman"/>
        </w:rPr>
        <w:t xml:space="preserve">.    It is important to note that each prospective clinic should </w:t>
      </w:r>
      <w:r w:rsidR="00154701">
        <w:rPr>
          <w:rFonts w:ascii="Times New Roman" w:hAnsi="Times New Roman"/>
          <w:u w:val="single"/>
        </w:rPr>
        <w:t>obtain competent local legal counsel</w:t>
      </w:r>
      <w:r w:rsidR="00154701">
        <w:rPr>
          <w:rFonts w:ascii="Times New Roman" w:hAnsi="Times New Roman"/>
        </w:rPr>
        <w:t xml:space="preserve"> regarding the precise application of the CMS “incident to” guidelines to your lipid clinic setting for your state and what fee codes non-physicians may bill.</w:t>
      </w:r>
      <w:r w:rsidR="00154701">
        <w:rPr>
          <w:rFonts w:ascii="Times New Roman" w:hAnsi="Times New Roman"/>
          <w:b/>
        </w:rPr>
        <w:t xml:space="preserve">  </w:t>
      </w:r>
      <w:r w:rsidR="00154701">
        <w:rPr>
          <w:rFonts w:ascii="Times New Roman" w:hAnsi="Times New Roman"/>
        </w:rPr>
        <w:t>Timely billing and appropriate familiarity and use of billing codes are also required for respectable collections.</w:t>
      </w:r>
    </w:p>
    <w:p w:rsidR="000B2CF4" w:rsidRDefault="000B2CF4" w:rsidP="000B2CF4">
      <w:pPr>
        <w:rPr>
          <w:rFonts w:ascii="Times New Roman" w:hAnsi="Times New Roman"/>
        </w:rPr>
      </w:pPr>
    </w:p>
    <w:p w:rsidR="00FA0C71" w:rsidRPr="000B2CF4" w:rsidRDefault="000B2CF4" w:rsidP="000B2CF4">
      <w:pPr>
        <w:rPr>
          <w:rFonts w:ascii="Times New Roman" w:hAnsi="Times New Roman"/>
          <w:color w:val="000000"/>
          <w:szCs w:val="24"/>
        </w:rPr>
      </w:pPr>
      <w:r w:rsidRPr="000B2CF4">
        <w:rPr>
          <w:rFonts w:ascii="Times New Roman" w:hAnsi="Times New Roman"/>
          <w:color w:val="000000"/>
          <w:shd w:val="clear" w:color="auto" w:fill="FFFFFF"/>
        </w:rPr>
        <w:t>Some of the rules of “incident to” nonphysician billing</w:t>
      </w:r>
      <w:r w:rsidR="00685206">
        <w:rPr>
          <w:rFonts w:ascii="Times New Roman" w:hAnsi="Times New Roman"/>
          <w:color w:val="000000"/>
          <w:shd w:val="clear" w:color="auto" w:fill="FFFFFF"/>
        </w:rPr>
        <w:t>:</w:t>
      </w:r>
      <w:r w:rsidR="00FA0C71" w:rsidRPr="000B2CF4">
        <w:rPr>
          <w:rFonts w:ascii="Times New Roman" w:hAnsi="Times New Roman"/>
          <w:color w:val="000000"/>
          <w:szCs w:val="24"/>
          <w:shd w:val="clear" w:color="auto" w:fill="FFFFFF"/>
        </w:rPr>
        <w:t xml:space="preserve"> The provider must first see the patient and develop a plan of care and initiate the course of treatment. The “incident to” service provided by the auxiliary personnel is then an incidental part of the patient's treatment. The patient can see the auxiliary personnel for continued treatment of the initial problem that was presented to the provider. If a new problem is identified at a visit by the auxiliary personnel, the patient must be referred back to the provider for evaluation and development of a new plan of care. The provider must demonstrate an active participation in the ongoing care of the patient, such as providing services on a regular basis that reflects participation on an ongoing basis. Reimbursement is based on 100% of the provider's fee schedule amount.</w:t>
      </w:r>
    </w:p>
    <w:p w:rsidR="00FA0C71" w:rsidRPr="00FA0C71" w:rsidRDefault="00FA0C71" w:rsidP="00FA0C71">
      <w:pPr>
        <w:pStyle w:val="Heading4"/>
        <w:shd w:val="clear" w:color="auto" w:fill="FFFFFF"/>
        <w:spacing w:before="375" w:beforeAutospacing="0" w:after="225" w:afterAutospacing="0"/>
        <w:rPr>
          <w:b w:val="0"/>
          <w:color w:val="000000"/>
        </w:rPr>
      </w:pPr>
      <w:r w:rsidRPr="00FA0C71">
        <w:rPr>
          <w:b w:val="0"/>
          <w:color w:val="000000"/>
        </w:rPr>
        <w:t>Settings Where “Incident to” May Be Considered</w:t>
      </w:r>
    </w:p>
    <w:p w:rsidR="00FA0C71" w:rsidRPr="00FA0C71" w:rsidRDefault="00FA0C71" w:rsidP="00FA0C71">
      <w:pPr>
        <w:pStyle w:val="Heading5"/>
        <w:shd w:val="clear" w:color="auto" w:fill="FFFFFF"/>
        <w:spacing w:before="0" w:beforeAutospacing="0" w:after="225" w:afterAutospacing="0"/>
        <w:rPr>
          <w:b w:val="0"/>
          <w:bCs w:val="0"/>
          <w:color w:val="000000"/>
          <w:sz w:val="24"/>
          <w:szCs w:val="24"/>
        </w:rPr>
      </w:pPr>
      <w:r w:rsidRPr="00FA0C71">
        <w:rPr>
          <w:b w:val="0"/>
          <w:bCs w:val="0"/>
          <w:color w:val="000000"/>
          <w:sz w:val="24"/>
          <w:szCs w:val="24"/>
        </w:rPr>
        <w:t>Physician/Providers Clinic</w:t>
      </w:r>
    </w:p>
    <w:p w:rsidR="00FA0C71" w:rsidRPr="00FA0C71" w:rsidRDefault="00FA0C71" w:rsidP="00FA0C71">
      <w:pPr>
        <w:pStyle w:val="NormalWeb"/>
        <w:shd w:val="clear" w:color="auto" w:fill="FFFFFF"/>
        <w:spacing w:before="75" w:beforeAutospacing="0" w:after="75" w:afterAutospacing="0"/>
        <w:rPr>
          <w:color w:val="000000"/>
        </w:rPr>
      </w:pPr>
      <w:r w:rsidRPr="00FA0C71">
        <w:rPr>
          <w:color w:val="000000"/>
        </w:rPr>
        <w:t>A physician/provider directed clinic is one where:</w:t>
      </w:r>
    </w:p>
    <w:p w:rsidR="00FA0C71" w:rsidRPr="00FA0C71" w:rsidRDefault="00FA0C71" w:rsidP="00FA0C71">
      <w:pPr>
        <w:pStyle w:val="NormalWeb"/>
        <w:shd w:val="clear" w:color="auto" w:fill="FFFFFF"/>
        <w:spacing w:before="75" w:beforeAutospacing="0" w:after="75" w:afterAutospacing="0"/>
        <w:rPr>
          <w:color w:val="000000"/>
        </w:rPr>
      </w:pPr>
      <w:r w:rsidRPr="00FA0C71">
        <w:rPr>
          <w:color w:val="000000"/>
        </w:rPr>
        <w:t>1. A physician or provider (or a number of physicians/providers) is present to perform medical (rather than administrative) services at all times the clinic is open;</w:t>
      </w:r>
    </w:p>
    <w:p w:rsidR="00FA0C71" w:rsidRPr="00FA0C71" w:rsidRDefault="00FA0C71" w:rsidP="00FA0C71">
      <w:pPr>
        <w:pStyle w:val="NormalWeb"/>
        <w:shd w:val="clear" w:color="auto" w:fill="FFFFFF"/>
        <w:spacing w:before="75" w:beforeAutospacing="0" w:after="75" w:afterAutospacing="0"/>
        <w:rPr>
          <w:color w:val="000000"/>
        </w:rPr>
      </w:pPr>
      <w:r w:rsidRPr="00FA0C71">
        <w:rPr>
          <w:color w:val="000000"/>
        </w:rPr>
        <w:t>2. Each patient is under the care of a clinic physician or provider; and</w:t>
      </w:r>
    </w:p>
    <w:p w:rsidR="003270DF" w:rsidRDefault="00FA0C71" w:rsidP="000B2CF4">
      <w:pPr>
        <w:pStyle w:val="NormalWeb"/>
        <w:shd w:val="clear" w:color="auto" w:fill="FFFFFF"/>
        <w:spacing w:before="75" w:beforeAutospacing="0" w:after="75" w:afterAutospacing="0"/>
        <w:rPr>
          <w:b/>
          <w:bCs/>
          <w:vertAlign w:val="superscript"/>
        </w:rPr>
      </w:pPr>
      <w:r w:rsidRPr="00FA0C71">
        <w:rPr>
          <w:color w:val="000000"/>
        </w:rPr>
        <w:t>3. The nonphysician services are under medical supervision.</w:t>
      </w:r>
    </w:p>
    <w:p w:rsidR="003270DF" w:rsidRDefault="003270DF" w:rsidP="000B2CF4">
      <w:pPr>
        <w:pStyle w:val="NormalWeb"/>
        <w:shd w:val="clear" w:color="auto" w:fill="FFFFFF"/>
        <w:spacing w:before="75" w:beforeAutospacing="0" w:after="75" w:afterAutospacing="0"/>
        <w:rPr>
          <w:b/>
          <w:bCs/>
          <w:vertAlign w:val="superscript"/>
        </w:rPr>
      </w:pPr>
    </w:p>
    <w:p w:rsidR="00FA0C71" w:rsidRDefault="00FA0C71" w:rsidP="000B2CF4">
      <w:pPr>
        <w:pStyle w:val="NormalWeb"/>
        <w:shd w:val="clear" w:color="auto" w:fill="FFFFFF"/>
        <w:spacing w:before="75" w:beforeAutospacing="0" w:after="75" w:afterAutospacing="0"/>
      </w:pPr>
      <w:r w:rsidRPr="00FA0C71">
        <w:rPr>
          <w:color w:val="000000"/>
        </w:rPr>
        <w:t>In highly organized clinics, particularly those that are direct physician/provider supervision may be the responsibility of several providers as opposed to an individual provider. In this situation, medical management of all services provided in the clinic is assured. The physician ordering a particular service need not be the physician who is supervising the service. Therefore, services performed by auxiliary personnel and other aides are covered even though they are performed in another department of the clinic.</w:t>
      </w:r>
    </w:p>
    <w:p w:rsidR="000E7155" w:rsidRDefault="000E7155">
      <w:pPr>
        <w:rPr>
          <w:rFonts w:ascii="Times New Roman" w:hAnsi="Times New Roman"/>
        </w:rPr>
      </w:pPr>
    </w:p>
    <w:p w:rsidR="00510FAD" w:rsidRDefault="00510FAD" w:rsidP="00510FAD">
      <w:pPr>
        <w:rPr>
          <w:rFonts w:ascii="Times New Roman" w:hAnsi="Times New Roman"/>
        </w:rPr>
      </w:pPr>
      <w:r>
        <w:rPr>
          <w:rFonts w:ascii="Times New Roman" w:hAnsi="Times New Roman"/>
        </w:rPr>
        <w:t>CPT Coding.  Essentially</w:t>
      </w:r>
      <w:r w:rsidR="00F33A8C">
        <w:rPr>
          <w:rFonts w:ascii="Times New Roman" w:hAnsi="Times New Roman"/>
        </w:rPr>
        <w:t>,</w:t>
      </w:r>
      <w:r>
        <w:rPr>
          <w:rFonts w:ascii="Times New Roman" w:hAnsi="Times New Roman"/>
        </w:rPr>
        <w:t xml:space="preserve"> providers can use evaluation and management codes (CPT E&amp;M coding for office </w:t>
      </w:r>
      <w:r w:rsidR="003652F5">
        <w:rPr>
          <w:rFonts w:ascii="Times New Roman" w:hAnsi="Times New Roman"/>
        </w:rPr>
        <w:t xml:space="preserve">lipid or CMR clinic </w:t>
      </w:r>
      <w:r w:rsidR="003270DF">
        <w:rPr>
          <w:rFonts w:ascii="Times New Roman" w:hAnsi="Times New Roman"/>
        </w:rPr>
        <w:t>visits) or specialty</w:t>
      </w:r>
      <w:r>
        <w:rPr>
          <w:rFonts w:ascii="Times New Roman" w:hAnsi="Times New Roman"/>
        </w:rPr>
        <w:t xml:space="preserve"> CPT codes (e.g., medical nutrition therapy, pharmacist medication therapy</w:t>
      </w:r>
      <w:r w:rsidR="003270DF">
        <w:rPr>
          <w:rFonts w:ascii="Times New Roman" w:hAnsi="Times New Roman"/>
        </w:rPr>
        <w:t>, e-visits</w:t>
      </w:r>
      <w:r>
        <w:rPr>
          <w:rFonts w:ascii="Times New Roman" w:hAnsi="Times New Roman"/>
        </w:rPr>
        <w:t>) when coding for lipid clinic visits HOWEVER there are federal, state, and third party regulations which govern who and with what visit criteria allow CPT codes and t</w:t>
      </w:r>
      <w:r w:rsidR="003652F5">
        <w:rPr>
          <w:rFonts w:ascii="Times New Roman" w:hAnsi="Times New Roman"/>
        </w:rPr>
        <w:t xml:space="preserve">heir billed </w:t>
      </w:r>
      <w:r>
        <w:rPr>
          <w:rFonts w:ascii="Times New Roman" w:hAnsi="Times New Roman"/>
        </w:rPr>
        <w:t>allowables</w:t>
      </w:r>
      <w:r w:rsidR="003270DF">
        <w:rPr>
          <w:rFonts w:ascii="Times New Roman" w:hAnsi="Times New Roman"/>
        </w:rPr>
        <w:t xml:space="preserve"> to be used</w:t>
      </w:r>
      <w:r>
        <w:rPr>
          <w:rFonts w:ascii="Times New Roman" w:hAnsi="Times New Roman"/>
        </w:rPr>
        <w:t>.</w:t>
      </w:r>
      <w:r w:rsidR="00FF163D">
        <w:rPr>
          <w:rFonts w:ascii="Times New Roman" w:hAnsi="Times New Roman"/>
        </w:rPr>
        <w:t xml:space="preserve">  These rules and regulations change regularly and are beyond the scope of this paper but can be ascertained through individual </w:t>
      </w:r>
      <w:r w:rsidR="003652F5">
        <w:rPr>
          <w:rFonts w:ascii="Times New Roman" w:hAnsi="Times New Roman"/>
        </w:rPr>
        <w:t xml:space="preserve">medical </w:t>
      </w:r>
      <w:r w:rsidR="00FF163D">
        <w:rPr>
          <w:rFonts w:ascii="Times New Roman" w:hAnsi="Times New Roman"/>
        </w:rPr>
        <w:t>group consultation</w:t>
      </w:r>
      <w:r w:rsidR="003652F5">
        <w:rPr>
          <w:rFonts w:ascii="Times New Roman" w:hAnsi="Times New Roman"/>
        </w:rPr>
        <w:t>s</w:t>
      </w:r>
      <w:r w:rsidR="00FF163D">
        <w:rPr>
          <w:rFonts w:ascii="Times New Roman" w:hAnsi="Times New Roman"/>
        </w:rPr>
        <w:t xml:space="preserve">, </w:t>
      </w:r>
      <w:r w:rsidR="00FF163D" w:rsidRPr="00001A95">
        <w:rPr>
          <w:rFonts w:ascii="Times New Roman" w:hAnsi="Times New Roman"/>
          <w:i/>
        </w:rPr>
        <w:t>Medicare Learning Network</w:t>
      </w:r>
      <w:r w:rsidR="00FF163D">
        <w:rPr>
          <w:rFonts w:ascii="Times New Roman" w:hAnsi="Times New Roman"/>
        </w:rPr>
        <w:t>, and the Federal Register.</w:t>
      </w:r>
      <w:r w:rsidR="00001A95">
        <w:rPr>
          <w:rFonts w:ascii="Times New Roman" w:hAnsi="Times New Roman"/>
        </w:rPr>
        <w:t xml:space="preserve">  The following slide depicts</w:t>
      </w:r>
      <w:r w:rsidR="00944075">
        <w:rPr>
          <w:rFonts w:ascii="Times New Roman" w:hAnsi="Times New Roman"/>
        </w:rPr>
        <w:t xml:space="preserve"> the two catego</w:t>
      </w:r>
      <w:r w:rsidR="00001A95">
        <w:rPr>
          <w:rFonts w:ascii="Times New Roman" w:hAnsi="Times New Roman"/>
        </w:rPr>
        <w:t>ries (initial and established patient</w:t>
      </w:r>
      <w:r w:rsidR="00944075">
        <w:rPr>
          <w:rFonts w:ascii="Times New Roman" w:hAnsi="Times New Roman"/>
        </w:rPr>
        <w:t>) of CPT</w:t>
      </w:r>
      <w:r w:rsidR="00001A95">
        <w:rPr>
          <w:rFonts w:ascii="Times New Roman" w:hAnsi="Times New Roman"/>
        </w:rPr>
        <w:t xml:space="preserve"> coding</w:t>
      </w:r>
      <w:r w:rsidR="00944075">
        <w:rPr>
          <w:rFonts w:ascii="Times New Roman" w:hAnsi="Times New Roman"/>
        </w:rPr>
        <w:t xml:space="preserve"> most </w:t>
      </w:r>
      <w:r w:rsidR="00944075">
        <w:rPr>
          <w:rFonts w:ascii="Times New Roman" w:hAnsi="Times New Roman"/>
        </w:rPr>
        <w:lastRenderedPageBreak/>
        <w:t>frequently used in lipid clinics.</w:t>
      </w:r>
      <w:r w:rsidR="00001A95">
        <w:rPr>
          <w:rFonts w:ascii="Times New Roman" w:hAnsi="Times New Roman"/>
        </w:rPr>
        <w:t xml:space="preserve">  The second slide denotes which nonphysician practitioners can bill at higher E&amp;M levels (but this can be State specific).</w:t>
      </w:r>
    </w:p>
    <w:p w:rsidR="00944075" w:rsidRDefault="00944075" w:rsidP="00510FAD">
      <w:pPr>
        <w:rPr>
          <w:rFonts w:ascii="Times New Roman" w:hAnsi="Times New Roman"/>
        </w:rPr>
      </w:pPr>
    </w:p>
    <w:p w:rsidR="00944075" w:rsidRDefault="00944075" w:rsidP="00510FAD">
      <w:pPr>
        <w:rPr>
          <w:rFonts w:ascii="Times New Roman" w:hAnsi="Times New Roman"/>
        </w:rPr>
      </w:pPr>
    </w:p>
    <w:p w:rsidR="00944075" w:rsidRDefault="00944075" w:rsidP="00944075">
      <w:pPr>
        <w:jc w:val="center"/>
        <w:rPr>
          <w:rFonts w:ascii="Times New Roman" w:hAnsi="Times New Roman"/>
        </w:rPr>
      </w:pPr>
      <w:r w:rsidRPr="00944075">
        <w:rPr>
          <w:rFonts w:ascii="Times New Roman" w:hAnsi="Times New Roman"/>
          <w:noProof/>
        </w:rPr>
        <w:drawing>
          <wp:inline distT="0" distB="0" distL="0" distR="0" wp14:anchorId="35C57CEF" wp14:editId="7456A534">
            <wp:extent cx="3797299" cy="284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97829" cy="2848373"/>
                    </a:xfrm>
                    <a:prstGeom prst="rect">
                      <a:avLst/>
                    </a:prstGeom>
                  </pic:spPr>
                </pic:pic>
              </a:graphicData>
            </a:graphic>
          </wp:inline>
        </w:drawing>
      </w:r>
    </w:p>
    <w:p w:rsidR="00944075" w:rsidRDefault="00944075" w:rsidP="00510FAD">
      <w:pPr>
        <w:rPr>
          <w:rFonts w:ascii="Times New Roman" w:hAnsi="Times New Roman"/>
        </w:rPr>
      </w:pPr>
    </w:p>
    <w:p w:rsidR="00944075" w:rsidRDefault="00944075" w:rsidP="00510FAD">
      <w:pPr>
        <w:rPr>
          <w:rFonts w:ascii="Times New Roman" w:hAnsi="Times New Roman"/>
        </w:rPr>
      </w:pPr>
    </w:p>
    <w:p w:rsidR="00944075" w:rsidRDefault="00944075" w:rsidP="00510FAD">
      <w:pPr>
        <w:rPr>
          <w:rFonts w:ascii="Times New Roman" w:hAnsi="Times New Roman"/>
        </w:rPr>
      </w:pPr>
    </w:p>
    <w:p w:rsidR="00944075" w:rsidRDefault="00944075" w:rsidP="00510FAD">
      <w:pPr>
        <w:rPr>
          <w:rFonts w:ascii="Times New Roman" w:hAnsi="Times New Roman"/>
        </w:rPr>
      </w:pPr>
    </w:p>
    <w:p w:rsidR="00944075" w:rsidRDefault="00157E66" w:rsidP="00157E66">
      <w:pPr>
        <w:jc w:val="center"/>
        <w:rPr>
          <w:rFonts w:ascii="Times New Roman" w:hAnsi="Times New Roman"/>
        </w:rPr>
      </w:pPr>
      <w:r w:rsidRPr="00157E66">
        <w:rPr>
          <w:rFonts w:ascii="Times New Roman" w:hAnsi="Times New Roman"/>
          <w:noProof/>
        </w:rPr>
        <w:drawing>
          <wp:inline distT="0" distB="0" distL="0" distR="0" wp14:anchorId="7BF4E42E" wp14:editId="7CE2A9ED">
            <wp:extent cx="3629025" cy="272176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29532" cy="2722149"/>
                    </a:xfrm>
                    <a:prstGeom prst="rect">
                      <a:avLst/>
                    </a:prstGeom>
                  </pic:spPr>
                </pic:pic>
              </a:graphicData>
            </a:graphic>
          </wp:inline>
        </w:drawing>
      </w:r>
    </w:p>
    <w:p w:rsidR="00944075" w:rsidRDefault="00944075" w:rsidP="00510FAD">
      <w:pPr>
        <w:rPr>
          <w:rFonts w:ascii="Times New Roman" w:hAnsi="Times New Roman"/>
        </w:rPr>
      </w:pPr>
    </w:p>
    <w:p w:rsidR="00944075" w:rsidRDefault="00944075" w:rsidP="00510FAD">
      <w:pPr>
        <w:rPr>
          <w:rFonts w:ascii="Times New Roman" w:hAnsi="Times New Roman"/>
        </w:rPr>
      </w:pPr>
    </w:p>
    <w:p w:rsidR="00944075" w:rsidRDefault="00944075" w:rsidP="00510FAD">
      <w:pPr>
        <w:rPr>
          <w:rFonts w:ascii="Times New Roman" w:hAnsi="Times New Roman"/>
        </w:rPr>
      </w:pPr>
    </w:p>
    <w:p w:rsidR="00154701" w:rsidRDefault="00154701">
      <w:pPr>
        <w:rPr>
          <w:rFonts w:ascii="Times New Roman" w:hAnsi="Times New Roman"/>
        </w:rPr>
      </w:pPr>
      <w:r>
        <w:rPr>
          <w:rFonts w:ascii="Times New Roman" w:hAnsi="Times New Roman"/>
        </w:rPr>
        <w:t>For contracted patient groups (e.g.</w:t>
      </w:r>
      <w:r w:rsidR="00133AEB">
        <w:rPr>
          <w:rFonts w:ascii="Times New Roman" w:hAnsi="Times New Roman"/>
        </w:rPr>
        <w:t>,</w:t>
      </w:r>
      <w:r>
        <w:rPr>
          <w:rFonts w:ascii="Times New Roman" w:hAnsi="Times New Roman"/>
        </w:rPr>
        <w:t xml:space="preserve"> employers, health plans) who are contracted to receive lipid or </w:t>
      </w:r>
      <w:r w:rsidR="00D22AC8">
        <w:rPr>
          <w:rFonts w:ascii="Times New Roman" w:hAnsi="Times New Roman"/>
        </w:rPr>
        <w:t>CMR/</w:t>
      </w:r>
      <w:r>
        <w:rPr>
          <w:rFonts w:ascii="Times New Roman" w:hAnsi="Times New Roman"/>
        </w:rPr>
        <w:t>metabolic syndrome management services appropriate selection of high risk patients, tight adherence to the contracted number of patients, and efficient delivery of necessary</w:t>
      </w:r>
      <w:r>
        <w:rPr>
          <w:rFonts w:ascii="Times New Roman" w:hAnsi="Times New Roman"/>
          <w:b/>
        </w:rPr>
        <w:t xml:space="preserve"> </w:t>
      </w:r>
      <w:r>
        <w:rPr>
          <w:rFonts w:ascii="Times New Roman" w:hAnsi="Times New Roman"/>
        </w:rPr>
        <w:t xml:space="preserve">clinic </w:t>
      </w:r>
      <w:r>
        <w:rPr>
          <w:rFonts w:ascii="Times New Roman" w:hAnsi="Times New Roman"/>
        </w:rPr>
        <w:lastRenderedPageBreak/>
        <w:t>services (e</w:t>
      </w:r>
      <w:r w:rsidR="00E11C73">
        <w:rPr>
          <w:rFonts w:ascii="Times New Roman" w:hAnsi="Times New Roman"/>
        </w:rPr>
        <w:t>.</w:t>
      </w:r>
      <w:r>
        <w:rPr>
          <w:rFonts w:ascii="Times New Roman" w:hAnsi="Times New Roman"/>
        </w:rPr>
        <w:t>g. follow up visits, cost effective therapy, &amp; education) will be paramount for a reasonable cost-benefit.</w:t>
      </w:r>
    </w:p>
    <w:p w:rsidR="00442AFE" w:rsidRPr="00553A78" w:rsidRDefault="00C023A3" w:rsidP="00FA0C71">
      <w:pPr>
        <w:pStyle w:val="NormalWeb"/>
        <w:rPr>
          <w:color w:val="000000" w:themeColor="text1"/>
        </w:rPr>
      </w:pPr>
      <w:r>
        <w:rPr>
          <w:b/>
        </w:rPr>
        <w:t>E-</w:t>
      </w:r>
      <w:r w:rsidR="00553A78" w:rsidRPr="00553A78">
        <w:rPr>
          <w:b/>
        </w:rPr>
        <w:t>Visits</w:t>
      </w:r>
      <w:r w:rsidR="00553A78">
        <w:t xml:space="preserve">. Since 2002 electronic patient visits via email has increased specifically within the domain of stable chronic disease management. </w:t>
      </w:r>
      <w:r w:rsidR="00553A78" w:rsidRPr="00553A78">
        <w:rPr>
          <w:rFonts w:eastAsiaTheme="minorEastAsia"/>
          <w:color w:val="000000" w:themeColor="text1"/>
          <w:kern w:val="24"/>
        </w:rPr>
        <w:t>"E-visits" are defined in the CPT manual, and their billing and coding requirements can be found there.</w:t>
      </w:r>
      <w:r w:rsidR="00553A78">
        <w:rPr>
          <w:rFonts w:eastAsiaTheme="minorEastAsia"/>
          <w:color w:val="000000" w:themeColor="text1"/>
          <w:kern w:val="24"/>
        </w:rPr>
        <w:t xml:space="preserve">  The two CPT </w:t>
      </w:r>
      <w:r w:rsidR="00553A78" w:rsidRPr="00553A78">
        <w:rPr>
          <w:rFonts w:eastAsiaTheme="minorEastAsia"/>
          <w:color w:val="000000" w:themeColor="text1"/>
          <w:kern w:val="24"/>
        </w:rPr>
        <w:t>codes</w:t>
      </w:r>
      <w:r w:rsidR="00553A78">
        <w:rPr>
          <w:rFonts w:eastAsiaTheme="minorEastAsia"/>
          <w:color w:val="000000" w:themeColor="text1"/>
          <w:kern w:val="24"/>
        </w:rPr>
        <w:t xml:space="preserve">: </w:t>
      </w:r>
      <w:r w:rsidR="00553A78" w:rsidRPr="00553A78">
        <w:rPr>
          <w:rFonts w:eastAsiaTheme="minorEastAsia"/>
          <w:bCs/>
          <w:color w:val="000000" w:themeColor="text1"/>
          <w:kern w:val="24"/>
        </w:rPr>
        <w:t>99444 (physician evaluation)</w:t>
      </w:r>
      <w:r w:rsidR="00553A78">
        <w:rPr>
          <w:rFonts w:eastAsiaTheme="minorEastAsia"/>
          <w:bCs/>
          <w:color w:val="000000" w:themeColor="text1"/>
          <w:kern w:val="24"/>
        </w:rPr>
        <w:t xml:space="preserve"> and </w:t>
      </w:r>
      <w:r w:rsidR="00553A78" w:rsidRPr="00553A78">
        <w:rPr>
          <w:rFonts w:eastAsiaTheme="minorEastAsia"/>
          <w:bCs/>
          <w:color w:val="000000" w:themeColor="text1"/>
          <w:kern w:val="24"/>
        </w:rPr>
        <w:t>98969 (qualified nonphysician)</w:t>
      </w:r>
      <w:r w:rsidR="00553A78">
        <w:rPr>
          <w:rFonts w:eastAsiaTheme="minorEastAsia"/>
          <w:bCs/>
          <w:color w:val="000000" w:themeColor="text1"/>
          <w:kern w:val="24"/>
        </w:rPr>
        <w:t xml:space="preserve"> are commonly used.  Reimbursement varies by individual state and health plan.  Although the criteria varies by health plan there are three general requirements for e-visits: (1) </w:t>
      </w:r>
      <w:r w:rsidR="00A94E4D" w:rsidRPr="00553A78">
        <w:rPr>
          <w:rFonts w:eastAsiaTheme="minorEastAsia"/>
          <w:bCs/>
          <w:color w:val="000000" w:themeColor="text1"/>
          <w:kern w:val="24"/>
          <w:lang w:bidi="en-US"/>
        </w:rPr>
        <w:t>The code must not refer to a previous E&amp;M service performed and reported by the physician within the previous seven days, or within a postoperative recovery period. If it does, the service is considered part of the previous E&amp;M service and cannot be recorded separately.</w:t>
      </w:r>
      <w:r>
        <w:rPr>
          <w:rFonts w:eastAsiaTheme="minorEastAsia"/>
          <w:bCs/>
          <w:color w:val="000000" w:themeColor="text1"/>
          <w:kern w:val="24"/>
          <w:lang w:bidi="en-US"/>
        </w:rPr>
        <w:t xml:space="preserve"> (2) </w:t>
      </w:r>
      <w:r w:rsidR="00A94E4D" w:rsidRPr="00553A78">
        <w:rPr>
          <w:rFonts w:eastAsiaTheme="minorEastAsia"/>
          <w:bCs/>
          <w:color w:val="000000" w:themeColor="text1"/>
          <w:kern w:val="24"/>
        </w:rPr>
        <w:t>The code should be recorded only once and encompass all of the communication related to that e-visit, including telephone calls, prescription medication provisions and lab orders.</w:t>
      </w:r>
      <w:r>
        <w:rPr>
          <w:rFonts w:eastAsiaTheme="minorEastAsia"/>
          <w:bCs/>
          <w:color w:val="000000" w:themeColor="text1"/>
          <w:kern w:val="24"/>
        </w:rPr>
        <w:t xml:space="preserve"> (3) </w:t>
      </w:r>
      <w:r w:rsidR="00A94E4D" w:rsidRPr="00553A78">
        <w:rPr>
          <w:rFonts w:eastAsiaTheme="minorEastAsia"/>
          <w:bCs/>
          <w:color w:val="000000" w:themeColor="text1"/>
          <w:kern w:val="24"/>
        </w:rPr>
        <w:t>The visit must be made part of the patient record.</w:t>
      </w:r>
      <w:r>
        <w:rPr>
          <w:rFonts w:eastAsiaTheme="minorEastAsia"/>
          <w:bCs/>
          <w:color w:val="000000" w:themeColor="text1"/>
          <w:kern w:val="24"/>
        </w:rPr>
        <w:t xml:space="preserve">  Secure electronic visits can be helpful in lipid clinics to follow medication responsiveness, therapeutic lifestyle changes, and symptom evaluation.</w:t>
      </w:r>
    </w:p>
    <w:p w:rsidR="00442AFE" w:rsidRDefault="00442AFE">
      <w:pPr>
        <w:rPr>
          <w:rFonts w:ascii="Times New Roman" w:hAnsi="Times New Roman"/>
        </w:rPr>
      </w:pPr>
    </w:p>
    <w:p w:rsidR="00154701" w:rsidRPr="001D2148" w:rsidRDefault="002C0413" w:rsidP="00CB1F67">
      <w:pPr>
        <w:rPr>
          <w:rFonts w:ascii="Times New Roman" w:hAnsi="Times New Roman"/>
          <w:b/>
        </w:rPr>
      </w:pPr>
      <w:r>
        <w:rPr>
          <w:rFonts w:ascii="Times New Roman" w:hAnsi="Times New Roman"/>
          <w:b/>
        </w:rPr>
        <w:t>8</w:t>
      </w:r>
      <w:r w:rsidR="00CB1F67">
        <w:rPr>
          <w:rFonts w:ascii="Times New Roman" w:hAnsi="Times New Roman"/>
          <w:b/>
        </w:rPr>
        <w:t xml:space="preserve">.  </w:t>
      </w:r>
      <w:r w:rsidR="00154701" w:rsidRPr="001D2148">
        <w:rPr>
          <w:rFonts w:ascii="Times New Roman" w:hAnsi="Times New Roman"/>
          <w:b/>
        </w:rPr>
        <w:t>Minimize unnecessary staff expenses</w:t>
      </w:r>
    </w:p>
    <w:p w:rsidR="00154701" w:rsidRDefault="00154701">
      <w:pPr>
        <w:rPr>
          <w:rFonts w:ascii="Times New Roman" w:hAnsi="Times New Roman"/>
        </w:rPr>
      </w:pPr>
    </w:p>
    <w:p w:rsidR="00154701" w:rsidRDefault="00154701">
      <w:pPr>
        <w:rPr>
          <w:rFonts w:ascii="Times New Roman" w:hAnsi="Times New Roman"/>
        </w:rPr>
      </w:pPr>
      <w:r>
        <w:rPr>
          <w:rFonts w:ascii="Times New Roman" w:hAnsi="Times New Roman"/>
        </w:rPr>
        <w:t>Minimize unnecessary staffing and long-return visits. Unnecessary staffing, lengthy return visits, and expensive educational materials are sure ways to reduce the probability of break-even</w:t>
      </w:r>
      <w:r>
        <w:rPr>
          <w:rFonts w:ascii="Times New Roman" w:hAnsi="Times New Roman"/>
          <w:b/>
        </w:rPr>
        <w:t xml:space="preserve">. </w:t>
      </w:r>
      <w:r w:rsidR="009545C6">
        <w:rPr>
          <w:rFonts w:ascii="Times New Roman" w:hAnsi="Times New Roman"/>
          <w:b/>
        </w:rPr>
        <w:t xml:space="preserve"> </w:t>
      </w:r>
      <w:r>
        <w:rPr>
          <w:rFonts w:ascii="Times New Roman" w:hAnsi="Times New Roman"/>
          <w:b/>
        </w:rPr>
        <w:t>Return visits</w:t>
      </w:r>
      <w:r>
        <w:rPr>
          <w:rFonts w:ascii="Times New Roman" w:hAnsi="Times New Roman"/>
        </w:rPr>
        <w:t xml:space="preserve"> should last </w:t>
      </w:r>
      <w:r>
        <w:rPr>
          <w:rFonts w:ascii="Times New Roman" w:hAnsi="Times New Roman"/>
          <w:u w:val="single"/>
        </w:rPr>
        <w:t>no longer</w:t>
      </w:r>
      <w:r w:rsidR="00711F3B">
        <w:rPr>
          <w:rFonts w:ascii="Times New Roman" w:hAnsi="Times New Roman"/>
        </w:rPr>
        <w:t xml:space="preserve"> than </w:t>
      </w:r>
      <w:r w:rsidR="001048A1">
        <w:rPr>
          <w:rFonts w:ascii="Times New Roman" w:hAnsi="Times New Roman"/>
        </w:rPr>
        <w:t>15</w:t>
      </w:r>
      <w:r>
        <w:rPr>
          <w:rFonts w:ascii="Times New Roman" w:hAnsi="Times New Roman"/>
        </w:rPr>
        <w:t xml:space="preserve"> minutes (</w:t>
      </w:r>
      <w:r w:rsidR="00E9069C">
        <w:rPr>
          <w:rFonts w:ascii="Times New Roman" w:hAnsi="Times New Roman"/>
        </w:rPr>
        <w:t>2</w:t>
      </w:r>
      <w:r w:rsidR="00CF4C87">
        <w:rPr>
          <w:rFonts w:ascii="Times New Roman" w:hAnsi="Times New Roman"/>
        </w:rPr>
        <w:t>0</w:t>
      </w:r>
      <w:r>
        <w:rPr>
          <w:rFonts w:ascii="Times New Roman" w:hAnsi="Times New Roman"/>
        </w:rPr>
        <w:t xml:space="preserve"> minutes with metabolic </w:t>
      </w:r>
      <w:r w:rsidR="004A335C">
        <w:rPr>
          <w:rFonts w:ascii="Times New Roman" w:hAnsi="Times New Roman"/>
        </w:rPr>
        <w:t>syndrome/</w:t>
      </w:r>
      <w:r w:rsidR="001048A1">
        <w:rPr>
          <w:rFonts w:ascii="Times New Roman" w:hAnsi="Times New Roman"/>
        </w:rPr>
        <w:t>CMR</w:t>
      </w:r>
      <w:r>
        <w:rPr>
          <w:rFonts w:ascii="Times New Roman" w:hAnsi="Times New Roman"/>
        </w:rPr>
        <w:t xml:space="preserve"> clinic p</w:t>
      </w:r>
      <w:r w:rsidR="001048A1">
        <w:rPr>
          <w:rFonts w:ascii="Times New Roman" w:hAnsi="Times New Roman"/>
        </w:rPr>
        <w:t>atients</w:t>
      </w:r>
      <w:r>
        <w:rPr>
          <w:rFonts w:ascii="Times New Roman" w:hAnsi="Times New Roman"/>
        </w:rPr>
        <w:t xml:space="preserve"> where more </w:t>
      </w:r>
      <w:r w:rsidR="009545C6">
        <w:rPr>
          <w:rFonts w:ascii="Times New Roman" w:hAnsi="Times New Roman"/>
        </w:rPr>
        <w:t xml:space="preserve">dedicated </w:t>
      </w:r>
      <w:r>
        <w:rPr>
          <w:rFonts w:ascii="Times New Roman" w:hAnsi="Times New Roman"/>
        </w:rPr>
        <w:t>lifestyle counseling is required) except in the most complex cases where medical decision making, evaluation and history taking are at a high complexity level. Team approaches to treating dyslipidemia</w:t>
      </w:r>
      <w:r w:rsidR="00CF4C87">
        <w:rPr>
          <w:rFonts w:ascii="Times New Roman" w:hAnsi="Times New Roman"/>
        </w:rPr>
        <w:t xml:space="preserve"> and CMR patients</w:t>
      </w:r>
      <w:r>
        <w:rPr>
          <w:rFonts w:ascii="Times New Roman" w:hAnsi="Times New Roman"/>
        </w:rPr>
        <w:t xml:space="preserve"> are often extolled as the ideal staff model in larger medical centers however “team-approaches” can be difficult to cost-justify especially considering </w:t>
      </w:r>
      <w:r w:rsidR="00CF4C87">
        <w:rPr>
          <w:rFonts w:ascii="Times New Roman" w:hAnsi="Times New Roman"/>
        </w:rPr>
        <w:t xml:space="preserve">the visit fee limits and the fact that </w:t>
      </w:r>
      <w:r>
        <w:rPr>
          <w:rFonts w:ascii="Times New Roman" w:hAnsi="Times New Roman"/>
        </w:rPr>
        <w:t>Medicare and most indemnity plans only allow one fee to be charged an</w:t>
      </w:r>
      <w:r w:rsidR="00CF4C87">
        <w:rPr>
          <w:rFonts w:ascii="Times New Roman" w:hAnsi="Times New Roman"/>
        </w:rPr>
        <w:t xml:space="preserve">d documented per return </w:t>
      </w:r>
      <w:r>
        <w:rPr>
          <w:rFonts w:ascii="Times New Roman" w:hAnsi="Times New Roman"/>
        </w:rPr>
        <w:t>visit</w:t>
      </w:r>
      <w:r w:rsidR="00E420A2">
        <w:rPr>
          <w:rFonts w:ascii="Times New Roman" w:hAnsi="Times New Roman"/>
        </w:rPr>
        <w:t xml:space="preserve"> day</w:t>
      </w:r>
      <w:r>
        <w:rPr>
          <w:rFonts w:ascii="Times New Roman" w:hAnsi="Times New Roman"/>
        </w:rPr>
        <w:t>.   Individual lipid specialist providers (e</w:t>
      </w:r>
      <w:r w:rsidR="009E4F94">
        <w:rPr>
          <w:rFonts w:ascii="Times New Roman" w:hAnsi="Times New Roman"/>
        </w:rPr>
        <w:t>.</w:t>
      </w:r>
      <w:r>
        <w:rPr>
          <w:rFonts w:ascii="Times New Roman" w:hAnsi="Times New Roman"/>
        </w:rPr>
        <w:t>g</w:t>
      </w:r>
      <w:r w:rsidR="009E4F94">
        <w:rPr>
          <w:rFonts w:ascii="Times New Roman" w:hAnsi="Times New Roman"/>
        </w:rPr>
        <w:t>,</w:t>
      </w:r>
      <w:r w:rsidR="00A75261">
        <w:rPr>
          <w:rFonts w:ascii="Times New Roman" w:hAnsi="Times New Roman"/>
        </w:rPr>
        <w:t xml:space="preserve"> </w:t>
      </w:r>
      <w:r>
        <w:rPr>
          <w:rFonts w:ascii="Times New Roman" w:hAnsi="Times New Roman"/>
        </w:rPr>
        <w:t xml:space="preserve">physician, nurse practitioner, nurse specialist, pharmacist, </w:t>
      </w:r>
      <w:r w:rsidR="00E30CDD">
        <w:rPr>
          <w:rFonts w:ascii="Times New Roman" w:hAnsi="Times New Roman"/>
        </w:rPr>
        <w:t xml:space="preserve">dietitian, </w:t>
      </w:r>
      <w:r>
        <w:rPr>
          <w:rFonts w:ascii="Times New Roman" w:hAnsi="Times New Roman"/>
        </w:rPr>
        <w:t xml:space="preserve">CDE, etc) with sufficient cross-training in clinical assessment, </w:t>
      </w:r>
      <w:r w:rsidR="00FB1912">
        <w:rPr>
          <w:rFonts w:ascii="Times New Roman" w:hAnsi="Times New Roman"/>
        </w:rPr>
        <w:t>pharmacotherapy</w:t>
      </w:r>
      <w:r>
        <w:rPr>
          <w:rFonts w:ascii="Times New Roman" w:hAnsi="Times New Roman"/>
        </w:rPr>
        <w:t xml:space="preserve">, dietary and lifestyle counseling skills are </w:t>
      </w:r>
      <w:r w:rsidR="00601DB1">
        <w:rPr>
          <w:rFonts w:ascii="Times New Roman" w:hAnsi="Times New Roman"/>
        </w:rPr>
        <w:t xml:space="preserve">most </w:t>
      </w:r>
      <w:r>
        <w:rPr>
          <w:rFonts w:ascii="Times New Roman" w:hAnsi="Times New Roman"/>
        </w:rPr>
        <w:t xml:space="preserve">likely to be your best staff model.  Here, the lipid </w:t>
      </w:r>
      <w:r w:rsidR="00C11D92">
        <w:rPr>
          <w:rFonts w:ascii="Times New Roman" w:hAnsi="Times New Roman"/>
        </w:rPr>
        <w:t xml:space="preserve">or “risk reduction” </w:t>
      </w:r>
      <w:r>
        <w:rPr>
          <w:rFonts w:ascii="Times New Roman" w:hAnsi="Times New Roman"/>
        </w:rPr>
        <w:t>practitioner manages their own patients through the course of care</w:t>
      </w:r>
      <w:r w:rsidR="00A75261">
        <w:rPr>
          <w:rFonts w:ascii="Times New Roman" w:hAnsi="Times New Roman"/>
        </w:rPr>
        <w:t xml:space="preserve"> but always with the physician seeing the patient and instituting inaugural therapy on the first (new) patient visit</w:t>
      </w:r>
      <w:r>
        <w:rPr>
          <w:rFonts w:ascii="Times New Roman" w:hAnsi="Times New Roman"/>
        </w:rPr>
        <w:t>.  When clearly necessary, referral to outside lifestyle therapy specialists, e</w:t>
      </w:r>
      <w:r w:rsidR="001810A8">
        <w:rPr>
          <w:rFonts w:ascii="Times New Roman" w:hAnsi="Times New Roman"/>
        </w:rPr>
        <w:t>.</w:t>
      </w:r>
      <w:r>
        <w:rPr>
          <w:rFonts w:ascii="Times New Roman" w:hAnsi="Times New Roman"/>
        </w:rPr>
        <w:t>g.</w:t>
      </w:r>
      <w:r w:rsidR="001810A8">
        <w:rPr>
          <w:rFonts w:ascii="Times New Roman" w:hAnsi="Times New Roman"/>
        </w:rPr>
        <w:t>,</w:t>
      </w:r>
      <w:r>
        <w:rPr>
          <w:rFonts w:ascii="Times New Roman" w:hAnsi="Times New Roman"/>
        </w:rPr>
        <w:t xml:space="preserve"> clinical dieticians, exercise specialists can be made.</w:t>
      </w:r>
      <w:r w:rsidR="00C11D92">
        <w:rPr>
          <w:rFonts w:ascii="Times New Roman" w:hAnsi="Times New Roman"/>
        </w:rPr>
        <w:t xml:space="preserve">   Finally and most importantly with regard to a lipid clinic service</w:t>
      </w:r>
      <w:r>
        <w:rPr>
          <w:rFonts w:ascii="Times New Roman" w:hAnsi="Times New Roman"/>
        </w:rPr>
        <w:t xml:space="preserve"> an experienced medical director competently skilled at diagnosis and management of a wide range lipid</w:t>
      </w:r>
      <w:r w:rsidR="00A46DCA">
        <w:rPr>
          <w:rFonts w:ascii="Times New Roman" w:hAnsi="Times New Roman"/>
        </w:rPr>
        <w:t>/lipoprotein</w:t>
      </w:r>
      <w:r>
        <w:rPr>
          <w:rFonts w:ascii="Times New Roman" w:hAnsi="Times New Roman"/>
        </w:rPr>
        <w:t xml:space="preserve"> disorders is paramount for a successful service. </w:t>
      </w:r>
    </w:p>
    <w:p w:rsidR="00154701" w:rsidRDefault="00154701">
      <w:pPr>
        <w:rPr>
          <w:rFonts w:ascii="Times New Roman" w:hAnsi="Times New Roman"/>
        </w:rPr>
      </w:pPr>
    </w:p>
    <w:p w:rsidR="00154701" w:rsidRDefault="00154701">
      <w:pPr>
        <w:rPr>
          <w:rFonts w:ascii="Times New Roman" w:hAnsi="Times New Roman"/>
        </w:rPr>
      </w:pPr>
    </w:p>
    <w:p w:rsidR="00154701" w:rsidRPr="001D2148" w:rsidRDefault="00AB329A" w:rsidP="00CB1F67">
      <w:pPr>
        <w:rPr>
          <w:rFonts w:ascii="Times New Roman" w:hAnsi="Times New Roman"/>
          <w:b/>
        </w:rPr>
      </w:pPr>
      <w:r>
        <w:rPr>
          <w:rFonts w:ascii="Times New Roman" w:hAnsi="Times New Roman"/>
          <w:b/>
        </w:rPr>
        <w:t>9</w:t>
      </w:r>
      <w:r w:rsidR="00CB1F67">
        <w:rPr>
          <w:rFonts w:ascii="Times New Roman" w:hAnsi="Times New Roman"/>
          <w:b/>
        </w:rPr>
        <w:t xml:space="preserve">.  </w:t>
      </w:r>
      <w:r w:rsidR="00154701" w:rsidRPr="001D2148">
        <w:rPr>
          <w:rFonts w:ascii="Times New Roman" w:hAnsi="Times New Roman"/>
          <w:b/>
        </w:rPr>
        <w:t>Efficient and aggressive patient scheduling</w:t>
      </w:r>
    </w:p>
    <w:p w:rsidR="00154701" w:rsidRDefault="00154701">
      <w:pPr>
        <w:rPr>
          <w:rFonts w:ascii="Times New Roman" w:hAnsi="Times New Roman"/>
        </w:rPr>
      </w:pPr>
    </w:p>
    <w:p w:rsidR="002039A7" w:rsidRDefault="00154701">
      <w:pPr>
        <w:rPr>
          <w:rFonts w:ascii="Times New Roman" w:hAnsi="Times New Roman"/>
        </w:rPr>
      </w:pPr>
      <w:r>
        <w:rPr>
          <w:rFonts w:ascii="Times New Roman" w:hAnsi="Times New Roman"/>
        </w:rPr>
        <w:t>Efficient and aggressive patient scheduling</w:t>
      </w:r>
      <w:r w:rsidR="009B0690">
        <w:rPr>
          <w:rFonts w:ascii="Times New Roman" w:hAnsi="Times New Roman"/>
        </w:rPr>
        <w:t xml:space="preserve"> is very important for financial solvency</w:t>
      </w:r>
      <w:r>
        <w:rPr>
          <w:rFonts w:ascii="Times New Roman" w:hAnsi="Times New Roman"/>
        </w:rPr>
        <w:t xml:space="preserve">.  </w:t>
      </w:r>
      <w:r w:rsidR="00787DDB">
        <w:rPr>
          <w:rFonts w:ascii="Times New Roman" w:hAnsi="Times New Roman"/>
        </w:rPr>
        <w:t xml:space="preserve">An example of an initial patient scheduling template:  </w:t>
      </w:r>
      <w:r>
        <w:rPr>
          <w:rFonts w:ascii="Times New Roman" w:hAnsi="Times New Roman"/>
        </w:rPr>
        <w:t xml:space="preserve">on </w:t>
      </w:r>
      <w:r w:rsidR="00992D99">
        <w:rPr>
          <w:rFonts w:ascii="Times New Roman" w:hAnsi="Times New Roman"/>
        </w:rPr>
        <w:t>two half days a week (e.g., two mornings)</w:t>
      </w:r>
      <w:r>
        <w:rPr>
          <w:rFonts w:ascii="Times New Roman" w:hAnsi="Times New Roman"/>
        </w:rPr>
        <w:t xml:space="preserve"> a  lipid specialis</w:t>
      </w:r>
      <w:r w:rsidR="0015662E">
        <w:rPr>
          <w:rFonts w:ascii="Times New Roman" w:hAnsi="Times New Roman"/>
        </w:rPr>
        <w:t>t should be capable of seeing 4-5</w:t>
      </w:r>
      <w:r w:rsidR="00992D99">
        <w:rPr>
          <w:rFonts w:ascii="Times New Roman" w:hAnsi="Times New Roman"/>
        </w:rPr>
        <w:t xml:space="preserve"> new patien</w:t>
      </w:r>
      <w:r w:rsidR="00787DDB">
        <w:rPr>
          <w:rFonts w:ascii="Times New Roman" w:hAnsi="Times New Roman"/>
        </w:rPr>
        <w:t xml:space="preserve">t visits and </w:t>
      </w:r>
      <w:r w:rsidR="0015662E">
        <w:rPr>
          <w:rFonts w:ascii="Times New Roman" w:hAnsi="Times New Roman"/>
        </w:rPr>
        <w:t xml:space="preserve"> 7-8 </w:t>
      </w:r>
      <w:r w:rsidR="00992D99">
        <w:rPr>
          <w:rFonts w:ascii="Times New Roman" w:hAnsi="Times New Roman"/>
        </w:rPr>
        <w:t xml:space="preserve"> return visits, or some combination of both. </w:t>
      </w:r>
      <w:r w:rsidR="002039A7">
        <w:rPr>
          <w:rFonts w:ascii="Times New Roman" w:hAnsi="Times New Roman"/>
        </w:rPr>
        <w:t xml:space="preserve"> The figure below is an example </w:t>
      </w:r>
      <w:r w:rsidR="00787DDB">
        <w:rPr>
          <w:rFonts w:ascii="Times New Roman" w:hAnsi="Times New Roman"/>
        </w:rPr>
        <w:t xml:space="preserve">of an </w:t>
      </w:r>
      <w:r w:rsidR="00787DDB" w:rsidRPr="00570A08">
        <w:rPr>
          <w:rFonts w:ascii="Times New Roman" w:hAnsi="Times New Roman"/>
          <w:b/>
        </w:rPr>
        <w:t>initial</w:t>
      </w:r>
      <w:r w:rsidR="00787DDB">
        <w:rPr>
          <w:rFonts w:ascii="Times New Roman" w:hAnsi="Times New Roman"/>
        </w:rPr>
        <w:t xml:space="preserve"> </w:t>
      </w:r>
      <w:r w:rsidR="002039A7">
        <w:rPr>
          <w:rFonts w:ascii="Times New Roman" w:hAnsi="Times New Roman"/>
        </w:rPr>
        <w:t xml:space="preserve">four-morning per week lipid </w:t>
      </w:r>
      <w:r w:rsidR="002039A7">
        <w:rPr>
          <w:rFonts w:ascii="Times New Roman" w:hAnsi="Times New Roman"/>
        </w:rPr>
        <w:lastRenderedPageBreak/>
        <w:t>clinic schedule.</w:t>
      </w:r>
      <w:r w:rsidR="00787DDB">
        <w:rPr>
          <w:rFonts w:ascii="Times New Roman" w:hAnsi="Times New Roman"/>
        </w:rPr>
        <w:t xml:space="preserve"> </w:t>
      </w:r>
      <w:r w:rsidR="003E7148">
        <w:rPr>
          <w:rFonts w:ascii="Times New Roman" w:hAnsi="Times New Roman"/>
        </w:rPr>
        <w:t xml:space="preserve">  In time, this patient through</w:t>
      </w:r>
      <w:r w:rsidR="00787DDB">
        <w:rPr>
          <w:rFonts w:ascii="Times New Roman" w:hAnsi="Times New Roman"/>
        </w:rPr>
        <w:t>put can increase by reducing visit and charting time</w:t>
      </w:r>
      <w:r w:rsidR="00570A08">
        <w:rPr>
          <w:rFonts w:ascii="Times New Roman" w:hAnsi="Times New Roman"/>
        </w:rPr>
        <w:t xml:space="preserve"> such that the return visit intervals are ~</w:t>
      </w:r>
      <w:r w:rsidR="00F95239">
        <w:rPr>
          <w:rFonts w:ascii="Times New Roman" w:hAnsi="Times New Roman"/>
        </w:rPr>
        <w:t>10</w:t>
      </w:r>
      <w:r w:rsidR="003E7148">
        <w:rPr>
          <w:rFonts w:ascii="Times New Roman" w:hAnsi="Times New Roman"/>
        </w:rPr>
        <w:t>-</w:t>
      </w:r>
      <w:r w:rsidR="00570A08">
        <w:rPr>
          <w:rFonts w:ascii="Times New Roman" w:hAnsi="Times New Roman"/>
        </w:rPr>
        <w:t>15-minutes</w:t>
      </w:r>
      <w:r w:rsidR="00D37122">
        <w:rPr>
          <w:rFonts w:ascii="Times New Roman" w:hAnsi="Times New Roman"/>
        </w:rPr>
        <w:t xml:space="preserve"> and the new patient visits are 20-25 minutes.</w:t>
      </w:r>
      <w:r>
        <w:rPr>
          <w:rFonts w:ascii="Times New Roman" w:hAnsi="Times New Roman"/>
        </w:rPr>
        <w:t xml:space="preserve">  Since lipid clinic staff resources are usually limited it will be smarter to use intensive one-on-one follow-up with only high</w:t>
      </w:r>
      <w:r w:rsidR="00367F86">
        <w:rPr>
          <w:rFonts w:ascii="Times New Roman" w:hAnsi="Times New Roman"/>
        </w:rPr>
        <w:t xml:space="preserve"> CMR </w:t>
      </w:r>
      <w:r>
        <w:rPr>
          <w:rFonts w:ascii="Times New Roman" w:hAnsi="Times New Roman"/>
        </w:rPr>
        <w:t>risk or complex therapy dyslipidemic patients and use an informed usual-care approach or a group and/or telemanagement follow-up protocol with those who are relatively low C</w:t>
      </w:r>
      <w:r w:rsidR="001810A8">
        <w:rPr>
          <w:rFonts w:ascii="Times New Roman" w:hAnsi="Times New Roman"/>
        </w:rPr>
        <w:t>V</w:t>
      </w:r>
      <w:r>
        <w:rPr>
          <w:rFonts w:ascii="Times New Roman" w:hAnsi="Times New Roman"/>
        </w:rPr>
        <w:t>D risk or who may require relatively simple straight-forward therapy.</w:t>
      </w:r>
      <w:r w:rsidR="005D3F65">
        <w:rPr>
          <w:rFonts w:ascii="Times New Roman" w:hAnsi="Times New Roman"/>
        </w:rPr>
        <w:t xml:space="preserve">  </w:t>
      </w:r>
      <w:r>
        <w:rPr>
          <w:rFonts w:ascii="Times New Roman" w:hAnsi="Times New Roman"/>
        </w:rPr>
        <w:t xml:space="preserve">Implementing a once or twice </w:t>
      </w:r>
      <w:r w:rsidR="00141235">
        <w:rPr>
          <w:rFonts w:ascii="Times New Roman" w:hAnsi="Times New Roman"/>
        </w:rPr>
        <w:t>monthly</w:t>
      </w:r>
      <w:r>
        <w:rPr>
          <w:rFonts w:ascii="Times New Roman" w:hAnsi="Times New Roman"/>
        </w:rPr>
        <w:t xml:space="preserve"> self-pay (e</w:t>
      </w:r>
      <w:r w:rsidR="00465B08">
        <w:rPr>
          <w:rFonts w:ascii="Times New Roman" w:hAnsi="Times New Roman"/>
        </w:rPr>
        <w:t>.</w:t>
      </w:r>
      <w:r>
        <w:rPr>
          <w:rFonts w:ascii="Times New Roman" w:hAnsi="Times New Roman"/>
        </w:rPr>
        <w:t>g.</w:t>
      </w:r>
      <w:r w:rsidR="00367F86">
        <w:rPr>
          <w:rFonts w:ascii="Times New Roman" w:hAnsi="Times New Roman"/>
        </w:rPr>
        <w:t>,</w:t>
      </w:r>
      <w:r>
        <w:rPr>
          <w:rFonts w:ascii="Times New Roman" w:hAnsi="Times New Roman"/>
        </w:rPr>
        <w:t xml:space="preserve"> $10) 75-minute </w:t>
      </w:r>
      <w:r w:rsidR="00367F86">
        <w:rPr>
          <w:rFonts w:ascii="Times New Roman" w:hAnsi="Times New Roman"/>
        </w:rPr>
        <w:t xml:space="preserve">provider-facilitated </w:t>
      </w:r>
      <w:r>
        <w:rPr>
          <w:rFonts w:ascii="Times New Roman" w:hAnsi="Times New Roman"/>
        </w:rPr>
        <w:t xml:space="preserve">group education and problem solving session will help </w:t>
      </w:r>
      <w:r w:rsidR="00E20356">
        <w:rPr>
          <w:rFonts w:ascii="Times New Roman" w:hAnsi="Times New Roman"/>
        </w:rPr>
        <w:t>address</w:t>
      </w:r>
      <w:r>
        <w:rPr>
          <w:rFonts w:ascii="Times New Roman" w:hAnsi="Times New Roman"/>
        </w:rPr>
        <w:t xml:space="preserve"> patient issues and questions and help provide additional lifestyle instruction. </w:t>
      </w:r>
      <w:r w:rsidR="00367F86">
        <w:rPr>
          <w:rFonts w:ascii="Times New Roman" w:hAnsi="Times New Roman"/>
        </w:rPr>
        <w:t xml:space="preserve"> Deferring to a </w:t>
      </w:r>
      <w:r w:rsidR="004F2041">
        <w:rPr>
          <w:rFonts w:ascii="Times New Roman" w:hAnsi="Times New Roman"/>
        </w:rPr>
        <w:t xml:space="preserve">regular </w:t>
      </w:r>
      <w:r w:rsidR="00367F86">
        <w:rPr>
          <w:rFonts w:ascii="Times New Roman" w:hAnsi="Times New Roman"/>
        </w:rPr>
        <w:t xml:space="preserve">standing </w:t>
      </w:r>
      <w:r w:rsidR="00E71E45">
        <w:rPr>
          <w:rFonts w:ascii="Times New Roman" w:hAnsi="Times New Roman"/>
        </w:rPr>
        <w:t xml:space="preserve">self-pay </w:t>
      </w:r>
      <w:r w:rsidR="00367F86">
        <w:rPr>
          <w:rFonts w:ascii="Times New Roman" w:hAnsi="Times New Roman"/>
        </w:rPr>
        <w:t>group</w:t>
      </w:r>
      <w:r w:rsidR="00E71E45">
        <w:rPr>
          <w:rFonts w:ascii="Times New Roman" w:hAnsi="Times New Roman"/>
        </w:rPr>
        <w:t xml:space="preserve"> education</w:t>
      </w:r>
      <w:r w:rsidR="00367F86">
        <w:rPr>
          <w:rFonts w:ascii="Times New Roman" w:hAnsi="Times New Roman"/>
        </w:rPr>
        <w:t xml:space="preserve"> program will help keep office-visit time to a minimum as well as provide more meaningful dietary and physical activity instruction.</w:t>
      </w:r>
      <w:r w:rsidR="004F2041">
        <w:rPr>
          <w:rFonts w:ascii="Times New Roman" w:hAnsi="Times New Roman"/>
        </w:rPr>
        <w:t xml:space="preserve">  </w:t>
      </w:r>
      <w:r>
        <w:rPr>
          <w:rFonts w:ascii="Times New Roman" w:hAnsi="Times New Roman"/>
        </w:rPr>
        <w:t>Third parties generally do no</w:t>
      </w:r>
      <w:r w:rsidR="00E20356">
        <w:rPr>
          <w:rFonts w:ascii="Times New Roman" w:hAnsi="Times New Roman"/>
        </w:rPr>
        <w:t xml:space="preserve">t reimburse for group education </w:t>
      </w:r>
      <w:r>
        <w:rPr>
          <w:rFonts w:ascii="Times New Roman" w:hAnsi="Times New Roman"/>
        </w:rPr>
        <w:t>support outside of diabetes education and group psychological therapy.</w:t>
      </w:r>
    </w:p>
    <w:p w:rsidR="006337DC" w:rsidRDefault="006337DC">
      <w:pPr>
        <w:rPr>
          <w:rFonts w:ascii="Times New Roman" w:hAnsi="Times New Roman"/>
        </w:rPr>
      </w:pPr>
    </w:p>
    <w:p w:rsidR="006337DC" w:rsidRDefault="006337DC">
      <w:pPr>
        <w:rPr>
          <w:rFonts w:ascii="Times New Roman" w:hAnsi="Times New Roman"/>
        </w:rPr>
      </w:pPr>
    </w:p>
    <w:p w:rsidR="002039A7" w:rsidRDefault="00133243" w:rsidP="006337DC">
      <w:pPr>
        <w:jc w:val="center"/>
        <w:rPr>
          <w:rFonts w:ascii="Times New Roman" w:hAnsi="Times New Roman"/>
        </w:rPr>
      </w:pPr>
      <w:r w:rsidRPr="00133243">
        <w:rPr>
          <w:rFonts w:ascii="Times New Roman" w:hAnsi="Times New Roman"/>
          <w:noProof/>
        </w:rPr>
        <w:drawing>
          <wp:inline distT="0" distB="0" distL="0" distR="0" wp14:anchorId="6BC15F16" wp14:editId="7469B0B3">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2638" cy="3429479"/>
                    </a:xfrm>
                    <a:prstGeom prst="rect">
                      <a:avLst/>
                    </a:prstGeom>
                  </pic:spPr>
                </pic:pic>
              </a:graphicData>
            </a:graphic>
          </wp:inline>
        </w:drawing>
      </w:r>
    </w:p>
    <w:p w:rsidR="000B337A" w:rsidRDefault="000B337A" w:rsidP="006337DC">
      <w:pPr>
        <w:jc w:val="center"/>
        <w:rPr>
          <w:rFonts w:ascii="Times New Roman" w:hAnsi="Times New Roman"/>
        </w:rPr>
      </w:pPr>
    </w:p>
    <w:p w:rsidR="002039A7" w:rsidRDefault="000B337A">
      <w:pPr>
        <w:rPr>
          <w:rFonts w:ascii="Times New Roman" w:hAnsi="Times New Roman"/>
        </w:rPr>
      </w:pPr>
      <w:r>
        <w:rPr>
          <w:rFonts w:ascii="Times New Roman" w:hAnsi="Times New Roman"/>
        </w:rPr>
        <w:t>*note that these visit times</w:t>
      </w:r>
      <w:r w:rsidR="00762821">
        <w:rPr>
          <w:rFonts w:ascii="Times New Roman" w:hAnsi="Times New Roman"/>
        </w:rPr>
        <w:t xml:space="preserve"> in the figure above</w:t>
      </w:r>
      <w:r>
        <w:rPr>
          <w:rFonts w:ascii="Times New Roman" w:hAnsi="Times New Roman"/>
        </w:rPr>
        <w:t xml:space="preserve"> are </w:t>
      </w:r>
      <w:r w:rsidR="00762821">
        <w:rPr>
          <w:rFonts w:ascii="Times New Roman" w:hAnsi="Times New Roman"/>
        </w:rPr>
        <w:t xml:space="preserve">purposely </w:t>
      </w:r>
      <w:r>
        <w:rPr>
          <w:rFonts w:ascii="Times New Roman" w:hAnsi="Times New Roman"/>
        </w:rPr>
        <w:t>elongated for start-up clinics and should shorten considerably within 2-3 months, i.e., 1</w:t>
      </w:r>
      <w:r w:rsidR="00F95239">
        <w:rPr>
          <w:rFonts w:ascii="Times New Roman" w:hAnsi="Times New Roman"/>
        </w:rPr>
        <w:t>0</w:t>
      </w:r>
      <w:r>
        <w:rPr>
          <w:rFonts w:ascii="Times New Roman" w:hAnsi="Times New Roman"/>
        </w:rPr>
        <w:t>-15</w:t>
      </w:r>
      <w:r w:rsidR="002614D3">
        <w:rPr>
          <w:rFonts w:ascii="Times New Roman" w:hAnsi="Times New Roman"/>
        </w:rPr>
        <w:t xml:space="preserve"> minutes</w:t>
      </w:r>
      <w:r>
        <w:rPr>
          <w:rFonts w:ascii="Times New Roman" w:hAnsi="Times New Roman"/>
        </w:rPr>
        <w:t xml:space="preserve"> </w:t>
      </w:r>
      <w:r w:rsidR="00762821">
        <w:rPr>
          <w:rFonts w:ascii="Times New Roman" w:hAnsi="Times New Roman"/>
        </w:rPr>
        <w:t xml:space="preserve">for </w:t>
      </w:r>
      <w:r>
        <w:rPr>
          <w:rFonts w:ascii="Times New Roman" w:hAnsi="Times New Roman"/>
        </w:rPr>
        <w:t>return visits</w:t>
      </w:r>
      <w:r w:rsidR="00762821">
        <w:rPr>
          <w:rFonts w:ascii="Times New Roman" w:hAnsi="Times New Roman"/>
        </w:rPr>
        <w:t>.</w:t>
      </w:r>
    </w:p>
    <w:p w:rsidR="002039A7" w:rsidRDefault="002039A7" w:rsidP="002039A7">
      <w:pPr>
        <w:jc w:val="center"/>
        <w:rPr>
          <w:rFonts w:ascii="Times New Roman" w:hAnsi="Times New Roman"/>
        </w:rPr>
      </w:pPr>
    </w:p>
    <w:p w:rsidR="002039A7" w:rsidRDefault="002039A7">
      <w:pPr>
        <w:rPr>
          <w:rFonts w:ascii="Times New Roman" w:hAnsi="Times New Roman"/>
        </w:rPr>
      </w:pPr>
    </w:p>
    <w:p w:rsidR="00113C79" w:rsidRPr="00704019" w:rsidRDefault="00AB329A" w:rsidP="00113C79">
      <w:pPr>
        <w:rPr>
          <w:rFonts w:ascii="Times New Roman" w:hAnsi="Times New Roman"/>
          <w:b/>
        </w:rPr>
      </w:pPr>
      <w:r>
        <w:rPr>
          <w:rFonts w:ascii="Times New Roman" w:hAnsi="Times New Roman"/>
          <w:b/>
        </w:rPr>
        <w:t>10</w:t>
      </w:r>
      <w:r w:rsidR="00113C79" w:rsidRPr="00704019">
        <w:rPr>
          <w:rFonts w:ascii="Times New Roman" w:hAnsi="Times New Roman"/>
          <w:b/>
        </w:rPr>
        <w:t xml:space="preserve">.  Establishing Outcome and </w:t>
      </w:r>
      <w:r w:rsidR="00113C79">
        <w:rPr>
          <w:rFonts w:ascii="Times New Roman" w:hAnsi="Times New Roman"/>
          <w:b/>
        </w:rPr>
        <w:t xml:space="preserve">Quality </w:t>
      </w:r>
      <w:r w:rsidR="00113C79" w:rsidRPr="00704019">
        <w:rPr>
          <w:rFonts w:ascii="Times New Roman" w:hAnsi="Times New Roman"/>
          <w:b/>
        </w:rPr>
        <w:t>Performance Measures</w:t>
      </w:r>
    </w:p>
    <w:p w:rsidR="00113C79" w:rsidRDefault="00113C79" w:rsidP="00113C79">
      <w:pPr>
        <w:rPr>
          <w:rFonts w:ascii="Times New Roman" w:hAnsi="Times New Roman"/>
        </w:rPr>
      </w:pPr>
    </w:p>
    <w:p w:rsidR="00113C79" w:rsidRDefault="00113C79" w:rsidP="00113C79">
      <w:pPr>
        <w:rPr>
          <w:rFonts w:ascii="Times New Roman" w:hAnsi="Times New Roman"/>
        </w:rPr>
      </w:pPr>
      <w:r>
        <w:rPr>
          <w:rFonts w:ascii="Times New Roman" w:hAnsi="Times New Roman"/>
        </w:rPr>
        <w:t>Regardless of the level of clinical service you are planning it will be important to establish</w:t>
      </w:r>
      <w:r w:rsidR="00744187">
        <w:rPr>
          <w:rFonts w:ascii="Times New Roman" w:hAnsi="Times New Roman"/>
        </w:rPr>
        <w:t xml:space="preserve"> or integrate your service with</w:t>
      </w:r>
      <w:r>
        <w:rPr>
          <w:rFonts w:ascii="Times New Roman" w:hAnsi="Times New Roman"/>
        </w:rPr>
        <w:t xml:space="preserve"> an outcomes assessment platform either through an electronic medical records</w:t>
      </w:r>
      <w:r w:rsidR="00A46C9B">
        <w:rPr>
          <w:rFonts w:ascii="Times New Roman" w:hAnsi="Times New Roman"/>
        </w:rPr>
        <w:t xml:space="preserve"> (EMR)</w:t>
      </w:r>
      <w:r>
        <w:rPr>
          <w:rFonts w:ascii="Times New Roman" w:hAnsi="Times New Roman"/>
        </w:rPr>
        <w:t xml:space="preserve"> too</w:t>
      </w:r>
      <w:r w:rsidR="00AB329A">
        <w:rPr>
          <w:rFonts w:ascii="Times New Roman" w:hAnsi="Times New Roman"/>
        </w:rPr>
        <w:t xml:space="preserve">l or a separate </w:t>
      </w:r>
      <w:r w:rsidR="00E91C15">
        <w:rPr>
          <w:rFonts w:ascii="Times New Roman" w:hAnsi="Times New Roman"/>
        </w:rPr>
        <w:t xml:space="preserve">functional </w:t>
      </w:r>
      <w:r w:rsidR="00AB329A">
        <w:rPr>
          <w:rFonts w:ascii="Times New Roman" w:hAnsi="Times New Roman"/>
        </w:rPr>
        <w:t xml:space="preserve">database (e.g., </w:t>
      </w:r>
      <w:r>
        <w:rPr>
          <w:rFonts w:ascii="Times New Roman" w:hAnsi="Times New Roman"/>
        </w:rPr>
        <w:t>Microsoft Excel, Access, etc.).  This capability is a necessity because of outcomes reporting requirements for contractual agreements, NCQA accreditation,</w:t>
      </w:r>
      <w:r w:rsidR="00E91C15">
        <w:rPr>
          <w:rFonts w:ascii="Times New Roman" w:hAnsi="Times New Roman"/>
        </w:rPr>
        <w:t xml:space="preserve"> </w:t>
      </w:r>
      <w:r w:rsidR="009E4E90">
        <w:rPr>
          <w:rFonts w:ascii="Times New Roman" w:hAnsi="Times New Roman"/>
        </w:rPr>
        <w:t xml:space="preserve">PQRS, </w:t>
      </w:r>
      <w:r w:rsidR="00E91C15">
        <w:rPr>
          <w:rFonts w:ascii="Times New Roman" w:hAnsi="Times New Roman"/>
        </w:rPr>
        <w:t>CMS EMR meaningful use incentive programs,</w:t>
      </w:r>
      <w:r>
        <w:rPr>
          <w:rFonts w:ascii="Times New Roman" w:hAnsi="Times New Roman"/>
        </w:rPr>
        <w:t xml:space="preserve"> </w:t>
      </w:r>
      <w:r>
        <w:rPr>
          <w:rFonts w:ascii="Times New Roman" w:hAnsi="Times New Roman"/>
        </w:rPr>
        <w:lastRenderedPageBreak/>
        <w:t xml:space="preserve">internal quality monitoring, and/or research purposes.  Performance measures need not be prolific in number but should be concordant with current primary NCEP and/or ADA clinical measures and goals. Lipid clinic performance measures should include at least the central </w:t>
      </w:r>
      <w:r w:rsidR="00976F55">
        <w:rPr>
          <w:rFonts w:ascii="Times New Roman" w:hAnsi="Times New Roman"/>
        </w:rPr>
        <w:t xml:space="preserve">NLA and </w:t>
      </w:r>
      <w:r>
        <w:rPr>
          <w:rFonts w:ascii="Times New Roman" w:hAnsi="Times New Roman"/>
        </w:rPr>
        <w:t>NCEP lipid and lipoprotein targets and goal attainment (LDL, HDL, TG, nonHDL) for all lipid clinic patients.  CMR program measures should include waist circumference, blood pressure, fasting glucose and/or HbA1C, triglycerides, and HDL.  Objective measures of behavior change should also be recorded, e.g, dietary nutrient choices, minutes of moderate exercise per week, weekly changes in pedometer step-count.  Some measure of compliance with pharmacotherapy and lifestyle therapy can also be helpful even if such a measure is serially scored on a 0-10 likert scale. Advanced lipoprotein measures, other biomarkers, advanced anthropometric measures are optional.</w:t>
      </w:r>
    </w:p>
    <w:p w:rsidR="007F78C7" w:rsidRDefault="007F78C7" w:rsidP="00113C79">
      <w:pPr>
        <w:rPr>
          <w:rFonts w:ascii="Times New Roman" w:hAnsi="Times New Roman"/>
        </w:rPr>
      </w:pPr>
    </w:p>
    <w:p w:rsidR="00113C79" w:rsidRDefault="007F78C7" w:rsidP="007F78C7">
      <w:pPr>
        <w:pStyle w:val="NormalWeb"/>
        <w:spacing w:before="0" w:beforeAutospacing="0" w:after="0" w:afterAutospacing="0"/>
        <w:rPr>
          <w:rFonts w:eastAsiaTheme="minorEastAsia"/>
          <w:color w:val="000000" w:themeColor="text1"/>
          <w:kern w:val="24"/>
        </w:rPr>
      </w:pPr>
      <w:r>
        <w:t xml:space="preserve">The 2013 ACC/AHA Cholesterol Guidelines de-emphasized LDL-C target </w:t>
      </w:r>
      <w:r w:rsidR="00976F55">
        <w:t xml:space="preserve">performance measures and instead advised </w:t>
      </w:r>
      <w:r>
        <w:t xml:space="preserve">statin intensity allocation to one of four statin-benefit groups.  This recommendation has generated confusion on whether to use LDL-C as a reporting measure. Indeed the NCQA has for now abandoned LDL-C as a goal or reporting measure.  That </w:t>
      </w:r>
      <w:r w:rsidRPr="007F78C7">
        <w:t>said</w:t>
      </w:r>
      <w:r w:rsidR="00976F55">
        <w:t>,</w:t>
      </w:r>
      <w:r>
        <w:t xml:space="preserve"> my strong recommendation is fo</w:t>
      </w:r>
      <w:r w:rsidR="00976F55">
        <w:t>r dedicated lipid clinics to keep</w:t>
      </w:r>
      <w:r>
        <w:t xml:space="preserve"> LDL-C as a reporting measure and target as per that recommended by the 2014 NLA dyslipidemia guidelines. It is also important to note that the</w:t>
      </w:r>
      <w:r w:rsidRPr="007F78C7">
        <w:t xml:space="preserve"> </w:t>
      </w:r>
      <w:r w:rsidRPr="007F78C7">
        <w:rPr>
          <w:rFonts w:eastAsiaTheme="minorEastAsia"/>
          <w:color w:val="000000" w:themeColor="text1"/>
          <w:kern w:val="24"/>
        </w:rPr>
        <w:t xml:space="preserve"> </w:t>
      </w:r>
      <w:r w:rsidRPr="007F78C7">
        <w:rPr>
          <w:rFonts w:eastAsiaTheme="minorEastAsia"/>
          <w:bCs/>
          <w:color w:val="000000" w:themeColor="text1"/>
          <w:kern w:val="24"/>
        </w:rPr>
        <w:t>Medicare Shared Savings Program</w:t>
      </w:r>
      <w:r>
        <w:rPr>
          <w:rFonts w:eastAsiaTheme="minorEastAsia"/>
          <w:bCs/>
          <w:color w:val="000000" w:themeColor="text1"/>
          <w:kern w:val="24"/>
        </w:rPr>
        <w:t xml:space="preserve"> </w:t>
      </w:r>
      <w:r w:rsidRPr="007F78C7">
        <w:rPr>
          <w:rFonts w:eastAsiaTheme="minorEastAsia"/>
          <w:color w:val="000000" w:themeColor="text1"/>
          <w:kern w:val="24"/>
        </w:rPr>
        <w:t>Quality Meas</w:t>
      </w:r>
      <w:r>
        <w:rPr>
          <w:rFonts w:eastAsiaTheme="minorEastAsia"/>
          <w:color w:val="000000" w:themeColor="text1"/>
          <w:kern w:val="24"/>
        </w:rPr>
        <w:t xml:space="preserve">ure Benchmarks for </w:t>
      </w:r>
      <w:r w:rsidRPr="007F78C7">
        <w:rPr>
          <w:rFonts w:eastAsiaTheme="minorEastAsia"/>
          <w:color w:val="000000" w:themeColor="text1"/>
          <w:kern w:val="24"/>
        </w:rPr>
        <w:t>2015</w:t>
      </w:r>
      <w:r>
        <w:rPr>
          <w:rFonts w:eastAsiaTheme="minorEastAsia"/>
          <w:color w:val="000000" w:themeColor="text1"/>
          <w:kern w:val="24"/>
        </w:rPr>
        <w:t xml:space="preserve"> include LDL-C goals of &lt;100 mg/dL for both coronary artery disease and diabetes </w:t>
      </w:r>
      <w:r w:rsidRPr="007F78C7">
        <w:rPr>
          <w:rFonts w:eastAsiaTheme="minorEastAsia"/>
          <w:color w:val="000000" w:themeColor="text1"/>
          <w:kern w:val="24"/>
        </w:rPr>
        <w:t>quality performance benchmarks for A</w:t>
      </w:r>
      <w:r>
        <w:rPr>
          <w:rFonts w:eastAsiaTheme="minorEastAsia"/>
          <w:color w:val="000000" w:themeColor="text1"/>
          <w:kern w:val="24"/>
        </w:rPr>
        <w:t>CO’s.</w:t>
      </w:r>
    </w:p>
    <w:p w:rsidR="007C6D66" w:rsidRPr="007F78C7" w:rsidRDefault="007C6D66" w:rsidP="007F78C7">
      <w:pPr>
        <w:pStyle w:val="NormalWeb"/>
        <w:spacing w:before="0" w:beforeAutospacing="0" w:after="0" w:afterAutospacing="0"/>
      </w:pPr>
    </w:p>
    <w:p w:rsidR="00113C79" w:rsidRPr="007F78C7" w:rsidRDefault="00113C79">
      <w:pPr>
        <w:rPr>
          <w:rFonts w:ascii="Times New Roman" w:hAnsi="Times New Roman"/>
          <w:szCs w:val="24"/>
        </w:rPr>
      </w:pPr>
    </w:p>
    <w:p w:rsidR="00154701" w:rsidRPr="001D2148" w:rsidRDefault="00AB329A" w:rsidP="00CB1F67">
      <w:pPr>
        <w:rPr>
          <w:rFonts w:ascii="Times New Roman" w:hAnsi="Times New Roman"/>
          <w:b/>
        </w:rPr>
      </w:pPr>
      <w:r>
        <w:rPr>
          <w:rFonts w:ascii="Times New Roman" w:hAnsi="Times New Roman"/>
          <w:b/>
        </w:rPr>
        <w:t>11</w:t>
      </w:r>
      <w:r w:rsidR="00CB1F67">
        <w:rPr>
          <w:rFonts w:ascii="Times New Roman" w:hAnsi="Times New Roman"/>
          <w:b/>
        </w:rPr>
        <w:t xml:space="preserve">.  </w:t>
      </w:r>
      <w:r w:rsidR="00154701" w:rsidRPr="001D2148">
        <w:rPr>
          <w:rFonts w:ascii="Times New Roman" w:hAnsi="Times New Roman"/>
          <w:b/>
        </w:rPr>
        <w:t>Internal and external program promotional strategies</w:t>
      </w:r>
    </w:p>
    <w:p w:rsidR="00154701" w:rsidRDefault="00154701">
      <w:pPr>
        <w:rPr>
          <w:rFonts w:ascii="Times New Roman" w:hAnsi="Times New Roman"/>
        </w:rPr>
      </w:pPr>
    </w:p>
    <w:p w:rsidR="00113C79" w:rsidRPr="00113C79" w:rsidRDefault="00154701" w:rsidP="00113C79">
      <w:pPr>
        <w:rPr>
          <w:rFonts w:ascii="Times New Roman" w:hAnsi="Times New Roman"/>
        </w:rPr>
      </w:pPr>
      <w:r>
        <w:rPr>
          <w:rFonts w:ascii="Times New Roman" w:hAnsi="Times New Roman"/>
        </w:rPr>
        <w:t>Demonstrating the value of your services to your own practice partners is always the first and most important step in promoting lipid clinic services.   Clear demonstration of your diagnostic and management skill</w:t>
      </w:r>
      <w:r w:rsidR="00465B08">
        <w:rPr>
          <w:rFonts w:ascii="Times New Roman" w:hAnsi="Times New Roman"/>
        </w:rPr>
        <w:t>, including ABLS and ACCL certification,</w:t>
      </w:r>
      <w:r>
        <w:rPr>
          <w:rFonts w:ascii="Times New Roman" w:hAnsi="Times New Roman"/>
        </w:rPr>
        <w:t xml:space="preserve"> is a good way to garner local provider support.   </w:t>
      </w:r>
      <w:r>
        <w:rPr>
          <w:rFonts w:ascii="Times New Roman" w:hAnsi="Times New Roman"/>
          <w:u w:val="single"/>
        </w:rPr>
        <w:t>It is important to not be perceived as a replacement for simple straight-forward therapy</w:t>
      </w:r>
      <w:r>
        <w:rPr>
          <w:rFonts w:ascii="Times New Roman" w:hAnsi="Times New Roman"/>
        </w:rPr>
        <w:t xml:space="preserve"> for which the majority of providers should be implementing and fo</w:t>
      </w:r>
      <w:r w:rsidR="00113C79">
        <w:rPr>
          <w:rFonts w:ascii="Times New Roman" w:hAnsi="Times New Roman"/>
        </w:rPr>
        <w:t>llowing themselves.  Your certified</w:t>
      </w:r>
      <w:r>
        <w:rPr>
          <w:rFonts w:ascii="Times New Roman" w:hAnsi="Times New Roman"/>
        </w:rPr>
        <w:t xml:space="preserve"> expertise in special, more difficult cases should be evident with time.  This characteristic is even more true for outside referrals.  </w:t>
      </w:r>
      <w:r w:rsidR="00A07A08">
        <w:rPr>
          <w:rFonts w:ascii="Times New Roman" w:hAnsi="Times New Roman"/>
        </w:rPr>
        <w:t>A number of</w:t>
      </w:r>
      <w:r>
        <w:rPr>
          <w:rFonts w:ascii="Times New Roman" w:hAnsi="Times New Roman"/>
        </w:rPr>
        <w:t xml:space="preserve"> programs have had remarkable success with offering quarterly lipid tutorials to community physicians on practical management of dyslipidemia where each attending provider brings at least one difficult patient case for discussion. </w:t>
      </w:r>
      <w:r w:rsidR="00291DC6">
        <w:rPr>
          <w:rFonts w:ascii="Times New Roman" w:hAnsi="Times New Roman"/>
        </w:rPr>
        <w:t xml:space="preserve"> I </w:t>
      </w:r>
      <w:r w:rsidR="00FD5CCC">
        <w:rPr>
          <w:rFonts w:ascii="Times New Roman" w:hAnsi="Times New Roman"/>
        </w:rPr>
        <w:t xml:space="preserve">strongly </w:t>
      </w:r>
      <w:r w:rsidR="00291DC6">
        <w:rPr>
          <w:rFonts w:ascii="Times New Roman" w:hAnsi="Times New Roman"/>
        </w:rPr>
        <w:t xml:space="preserve">recommend that you </w:t>
      </w:r>
      <w:r w:rsidR="00FD5CCC">
        <w:rPr>
          <w:rFonts w:ascii="Times New Roman" w:hAnsi="Times New Roman"/>
        </w:rPr>
        <w:t>encourage</w:t>
      </w:r>
      <w:r w:rsidR="00291DC6">
        <w:rPr>
          <w:rFonts w:ascii="Times New Roman" w:hAnsi="Times New Roman"/>
        </w:rPr>
        <w:t xml:space="preserve"> local providers</w:t>
      </w:r>
      <w:r w:rsidR="00FD5CCC">
        <w:rPr>
          <w:rFonts w:ascii="Times New Roman" w:hAnsi="Times New Roman"/>
        </w:rPr>
        <w:t xml:space="preserve"> to</w:t>
      </w:r>
      <w:r w:rsidR="00291DC6">
        <w:rPr>
          <w:rFonts w:ascii="Times New Roman" w:hAnsi="Times New Roman"/>
        </w:rPr>
        <w:t xml:space="preserve"> </w:t>
      </w:r>
      <w:r w:rsidR="002C1173">
        <w:rPr>
          <w:rFonts w:ascii="Times New Roman" w:hAnsi="Times New Roman"/>
        </w:rPr>
        <w:t>diagnose and manage</w:t>
      </w:r>
      <w:r w:rsidR="00FD5CCC">
        <w:rPr>
          <w:rFonts w:ascii="Times New Roman" w:hAnsi="Times New Roman"/>
        </w:rPr>
        <w:t xml:space="preserve"> their own patient’s</w:t>
      </w:r>
      <w:r w:rsidR="002C1173">
        <w:rPr>
          <w:rFonts w:ascii="Times New Roman" w:hAnsi="Times New Roman"/>
        </w:rPr>
        <w:t xml:space="preserve"> lipid disorders that require relatively simple straight</w:t>
      </w:r>
      <w:r w:rsidR="00FD5CCC">
        <w:rPr>
          <w:rFonts w:ascii="Times New Roman" w:hAnsi="Times New Roman"/>
        </w:rPr>
        <w:t>-</w:t>
      </w:r>
      <w:r w:rsidR="002C1173">
        <w:rPr>
          <w:rFonts w:ascii="Times New Roman" w:hAnsi="Times New Roman"/>
        </w:rPr>
        <w:t xml:space="preserve"> forward therapy (mono and combination drug therapy). </w:t>
      </w:r>
      <w:r w:rsidR="00FD5CCC">
        <w:rPr>
          <w:rFonts w:ascii="Times New Roman" w:hAnsi="Times New Roman"/>
        </w:rPr>
        <w:t xml:space="preserve"> Illustrating such straight-forward cases will be important as well as d</w:t>
      </w:r>
      <w:r w:rsidR="002C1173">
        <w:rPr>
          <w:rFonts w:ascii="Times New Roman" w:hAnsi="Times New Roman"/>
        </w:rPr>
        <w:t>efin</w:t>
      </w:r>
      <w:r w:rsidR="00FD5CCC">
        <w:rPr>
          <w:rFonts w:ascii="Times New Roman" w:hAnsi="Times New Roman"/>
        </w:rPr>
        <w:t>ing</w:t>
      </w:r>
      <w:r w:rsidR="002C1173">
        <w:rPr>
          <w:rFonts w:ascii="Times New Roman" w:hAnsi="Times New Roman"/>
        </w:rPr>
        <w:t xml:space="preserve"> the </w:t>
      </w:r>
      <w:r w:rsidR="00FD5CCC">
        <w:rPr>
          <w:rFonts w:ascii="Times New Roman" w:hAnsi="Times New Roman"/>
        </w:rPr>
        <w:t xml:space="preserve">more </w:t>
      </w:r>
      <w:r w:rsidR="002C1173">
        <w:rPr>
          <w:rFonts w:ascii="Times New Roman" w:hAnsi="Times New Roman"/>
        </w:rPr>
        <w:t xml:space="preserve">complex cases </w:t>
      </w:r>
      <w:r w:rsidR="00FD5CCC">
        <w:rPr>
          <w:rFonts w:ascii="Times New Roman" w:hAnsi="Times New Roman"/>
        </w:rPr>
        <w:t xml:space="preserve">that </w:t>
      </w:r>
      <w:r w:rsidR="002C1173">
        <w:rPr>
          <w:rFonts w:ascii="Times New Roman" w:hAnsi="Times New Roman"/>
        </w:rPr>
        <w:t>are your particular expertise</w:t>
      </w:r>
      <w:r w:rsidR="00FD5CCC">
        <w:rPr>
          <w:rFonts w:ascii="Times New Roman" w:hAnsi="Times New Roman"/>
        </w:rPr>
        <w:t>.  En</w:t>
      </w:r>
      <w:r w:rsidR="002C1173">
        <w:rPr>
          <w:rFonts w:ascii="Times New Roman" w:hAnsi="Times New Roman"/>
        </w:rPr>
        <w:t xml:space="preserve">sure that you </w:t>
      </w:r>
      <w:r w:rsidR="00FD5CCC">
        <w:rPr>
          <w:rFonts w:ascii="Times New Roman" w:hAnsi="Times New Roman"/>
        </w:rPr>
        <w:t>show examples of</w:t>
      </w:r>
      <w:r w:rsidR="002C1173">
        <w:rPr>
          <w:rFonts w:ascii="Times New Roman" w:hAnsi="Times New Roman"/>
        </w:rPr>
        <w:t xml:space="preserve"> such complex cases categorically and by example cases.  Remember</w:t>
      </w:r>
      <w:r w:rsidR="00FD5CCC">
        <w:rPr>
          <w:rFonts w:ascii="Times New Roman" w:hAnsi="Times New Roman"/>
        </w:rPr>
        <w:t xml:space="preserve"> also</w:t>
      </w:r>
      <w:r w:rsidR="002C1173">
        <w:rPr>
          <w:rFonts w:ascii="Times New Roman" w:hAnsi="Times New Roman"/>
        </w:rPr>
        <w:t xml:space="preserve"> that you can offer a</w:t>
      </w:r>
      <w:r w:rsidR="00B47D38">
        <w:rPr>
          <w:rFonts w:ascii="Times New Roman" w:hAnsi="Times New Roman"/>
        </w:rPr>
        <w:t xml:space="preserve"> very helpful and productive service:</w:t>
      </w:r>
      <w:r w:rsidR="002C1173">
        <w:rPr>
          <w:rFonts w:ascii="Times New Roman" w:hAnsi="Times New Roman"/>
        </w:rPr>
        <w:t xml:space="preserve"> </w:t>
      </w:r>
      <w:r w:rsidR="00DF68E7">
        <w:rPr>
          <w:rFonts w:ascii="Times New Roman" w:hAnsi="Times New Roman"/>
          <w:b/>
        </w:rPr>
        <w:t>diagnostic only</w:t>
      </w:r>
      <w:r w:rsidR="00472F64" w:rsidRPr="00232D8C">
        <w:rPr>
          <w:rFonts w:ascii="Times New Roman" w:hAnsi="Times New Roman"/>
          <w:b/>
        </w:rPr>
        <w:t xml:space="preserve"> </w:t>
      </w:r>
      <w:r w:rsidR="002C1173" w:rsidRPr="00232D8C">
        <w:rPr>
          <w:rFonts w:ascii="Times New Roman" w:hAnsi="Times New Roman"/>
          <w:b/>
        </w:rPr>
        <w:t>service</w:t>
      </w:r>
      <w:r w:rsidR="002C1173">
        <w:rPr>
          <w:rFonts w:ascii="Times New Roman" w:hAnsi="Times New Roman"/>
        </w:rPr>
        <w:t xml:space="preserve"> with recommendations for therapy.</w:t>
      </w:r>
      <w:r w:rsidR="00113C79" w:rsidRPr="00113C79">
        <w:rPr>
          <w:rFonts w:ascii="Times New Roman" w:hAnsi="Times New Roman"/>
        </w:rPr>
        <w:t xml:space="preserve"> Opportunities to contract with </w:t>
      </w:r>
      <w:r w:rsidR="00AE3E5D">
        <w:rPr>
          <w:rFonts w:ascii="Times New Roman" w:hAnsi="Times New Roman"/>
        </w:rPr>
        <w:t xml:space="preserve">employee benefits managers, </w:t>
      </w:r>
      <w:r w:rsidR="00113C79" w:rsidRPr="00113C79">
        <w:rPr>
          <w:rFonts w:ascii="Times New Roman" w:hAnsi="Times New Roman"/>
        </w:rPr>
        <w:t>PCMH’s, ACO’s, and community care centers will also depend on your ability to illustrate the clinical value of clinical lipidology services particularly calling attention to your skill with diagnosing and managing more complex lipid disorders.</w:t>
      </w:r>
    </w:p>
    <w:p w:rsidR="00154701" w:rsidRDefault="00154701">
      <w:pPr>
        <w:rPr>
          <w:rFonts w:ascii="Times New Roman" w:hAnsi="Times New Roman"/>
        </w:rPr>
      </w:pPr>
    </w:p>
    <w:p w:rsidR="00154701" w:rsidRDefault="00154701">
      <w:pPr>
        <w:rPr>
          <w:rFonts w:ascii="Times New Roman" w:hAnsi="Times New Roman"/>
        </w:rPr>
      </w:pPr>
    </w:p>
    <w:p w:rsidR="006560AE" w:rsidRDefault="00AB329A" w:rsidP="006560AE">
      <w:pPr>
        <w:rPr>
          <w:rFonts w:ascii="Times New Roman" w:hAnsi="Times New Roman"/>
          <w:b/>
        </w:rPr>
      </w:pPr>
      <w:r>
        <w:rPr>
          <w:rFonts w:ascii="Times New Roman" w:hAnsi="Times New Roman"/>
          <w:b/>
        </w:rPr>
        <w:lastRenderedPageBreak/>
        <w:t>12</w:t>
      </w:r>
      <w:r w:rsidR="006560AE" w:rsidRPr="00442AFE">
        <w:rPr>
          <w:rFonts w:ascii="Times New Roman" w:hAnsi="Times New Roman"/>
          <w:b/>
        </w:rPr>
        <w:t>. Recommendations for Improving Solvency of Your Program</w:t>
      </w:r>
    </w:p>
    <w:p w:rsidR="006560AE" w:rsidRDefault="006560AE" w:rsidP="006560AE">
      <w:pPr>
        <w:rPr>
          <w:rFonts w:ascii="Times New Roman" w:hAnsi="Times New Roman"/>
          <w:b/>
        </w:rPr>
      </w:pPr>
    </w:p>
    <w:p w:rsidR="006560AE" w:rsidRPr="00442AFE" w:rsidRDefault="006560AE" w:rsidP="006560AE">
      <w:pPr>
        <w:rPr>
          <w:rFonts w:ascii="Times New Roman" w:hAnsi="Times New Roman"/>
          <w:b/>
        </w:rPr>
      </w:pPr>
      <w:r w:rsidRPr="0002445B">
        <w:rPr>
          <w:rFonts w:ascii="Times New Roman" w:hAnsi="Times New Roman"/>
        </w:rPr>
        <w:t>Regarding lipid clinic profitability and solvency of lipid programs</w:t>
      </w:r>
      <w:r w:rsidRPr="0002445B">
        <w:rPr>
          <w:rFonts w:ascii="Times New Roman" w:hAnsi="Times New Roman"/>
          <w:color w:val="5F5F5F"/>
          <w:sz w:val="32"/>
          <w:szCs w:val="32"/>
        </w:rPr>
        <w:t xml:space="preserve"> </w:t>
      </w:r>
      <w:r w:rsidRPr="0002445B">
        <w:rPr>
          <w:rFonts w:ascii="Times New Roman" w:hAnsi="Times New Roman"/>
          <w:lang w:bidi="en-US"/>
        </w:rPr>
        <w:t xml:space="preserve">approximately two-thirds of the </w:t>
      </w:r>
      <w:r>
        <w:rPr>
          <w:rFonts w:ascii="Times New Roman" w:hAnsi="Times New Roman"/>
          <w:lang w:bidi="en-US"/>
        </w:rPr>
        <w:t xml:space="preserve">2011 NLA </w:t>
      </w:r>
      <w:r w:rsidRPr="0002445B">
        <w:rPr>
          <w:rFonts w:ascii="Times New Roman" w:hAnsi="Times New Roman"/>
          <w:lang w:bidi="en-US"/>
        </w:rPr>
        <w:t>Lipid Pulse Survey respondents indicated they operate at break-even or better.  This in actuality may or may not be true depending on if this response was based on results of  a valid cost/benefit analysis.  Because of the curr</w:t>
      </w:r>
      <w:r w:rsidR="000D36FF">
        <w:rPr>
          <w:rFonts w:ascii="Times New Roman" w:hAnsi="Times New Roman"/>
          <w:lang w:bidi="en-US"/>
        </w:rPr>
        <w:t>ent fiscal climate for looming</w:t>
      </w:r>
      <w:r w:rsidRPr="0002445B">
        <w:rPr>
          <w:rFonts w:ascii="Times New Roman" w:hAnsi="Times New Roman"/>
          <w:lang w:bidi="en-US"/>
        </w:rPr>
        <w:t xml:space="preserve"> large Medicare physician fee cuts and increasing staff costs – lipid specialists would benefit from performing a thorough analysis of lipid clinic costs and projected revenue. </w:t>
      </w:r>
      <w:r w:rsidRPr="0002445B">
        <w:rPr>
          <w:rFonts w:ascii="Times New Roman" w:hAnsi="Times New Roman"/>
          <w:bCs/>
          <w:color w:val="000000"/>
        </w:rPr>
        <w:t xml:space="preserve">One of the issues inherent in performing health care-related cost-benefit analysis is that the computation of many components of benefits and costs is intuitively obvious but that there are others for which intuition fails to suggest methods of measurement and sources of benefit for example your impact on system revenue. </w:t>
      </w:r>
    </w:p>
    <w:p w:rsidR="006560AE" w:rsidRDefault="006560AE" w:rsidP="006560AE">
      <w:pPr>
        <w:rPr>
          <w:rFonts w:ascii="Times New Roman" w:hAnsi="Times New Roman"/>
        </w:rPr>
      </w:pPr>
    </w:p>
    <w:p w:rsidR="006560AE" w:rsidRPr="00442AFE" w:rsidRDefault="006560AE" w:rsidP="006560AE">
      <w:pPr>
        <w:rPr>
          <w:rFonts w:ascii="Times New Roman" w:hAnsi="Times New Roman"/>
          <w:lang w:bidi="en-US"/>
        </w:rPr>
      </w:pPr>
      <w:r w:rsidRPr="00442AFE">
        <w:rPr>
          <w:rFonts w:ascii="Times New Roman" w:hAnsi="Times New Roman"/>
          <w:lang w:bidi="en-US"/>
        </w:rPr>
        <w:t xml:space="preserve">Direct costs include staff, materials, and in some cases laboratory costs. Indirect costs, which should be included in your analysis (and </w:t>
      </w:r>
      <w:r w:rsidR="00531DC4">
        <w:rPr>
          <w:rFonts w:ascii="Times New Roman" w:hAnsi="Times New Roman"/>
          <w:lang w:bidi="en-US"/>
        </w:rPr>
        <w:t xml:space="preserve">pro </w:t>
      </w:r>
      <w:r w:rsidR="00FB1912" w:rsidRPr="00442AFE">
        <w:rPr>
          <w:rFonts w:ascii="Times New Roman" w:hAnsi="Times New Roman"/>
          <w:lang w:bidi="en-US"/>
        </w:rPr>
        <w:t>forma</w:t>
      </w:r>
      <w:r w:rsidRPr="00442AFE">
        <w:rPr>
          <w:rFonts w:ascii="Times New Roman" w:hAnsi="Times New Roman"/>
          <w:lang w:bidi="en-US"/>
        </w:rPr>
        <w:t xml:space="preserve">), include lipid clinic assigned space costs, facility fees, administrative and medical supervision costs.  Revenue benefit includes your collectibles (not billables) but should also include what revenue you generate for your institution or health care system in terms of what laboratory services you order (e.g., blood assays) and special diagnostic procedures (e.g., treadmill tests, imaging).  In my experience when these considerations are included in the cost-benefit evaluation most lipid clinics operate at close to </w:t>
      </w:r>
      <w:r w:rsidR="004941D5">
        <w:rPr>
          <w:rFonts w:ascii="Times New Roman" w:hAnsi="Times New Roman"/>
          <w:lang w:bidi="en-US"/>
        </w:rPr>
        <w:t xml:space="preserve">or at </w:t>
      </w:r>
      <w:r w:rsidRPr="00442AFE">
        <w:rPr>
          <w:rFonts w:ascii="Times New Roman" w:hAnsi="Times New Roman"/>
          <w:lang w:bidi="en-US"/>
        </w:rPr>
        <w:t xml:space="preserve">break-even.  </w:t>
      </w:r>
    </w:p>
    <w:p w:rsidR="006560AE" w:rsidRPr="00442AFE" w:rsidRDefault="006560AE" w:rsidP="006560AE">
      <w:pPr>
        <w:rPr>
          <w:rFonts w:ascii="Times New Roman" w:hAnsi="Times New Roman"/>
          <w:lang w:bidi="en-US"/>
        </w:rPr>
      </w:pPr>
    </w:p>
    <w:p w:rsidR="006560AE" w:rsidRPr="00442AFE" w:rsidRDefault="006560AE" w:rsidP="006560AE">
      <w:pPr>
        <w:rPr>
          <w:rFonts w:ascii="Times New Roman" w:hAnsi="Times New Roman"/>
          <w:lang w:bidi="en-US"/>
        </w:rPr>
      </w:pPr>
      <w:r w:rsidRPr="00442AFE">
        <w:rPr>
          <w:rFonts w:ascii="Times New Roman" w:hAnsi="Times New Roman"/>
          <w:lang w:bidi="en-US"/>
        </w:rPr>
        <w:t xml:space="preserve">The following are several suggestions for improving the </w:t>
      </w:r>
      <w:r w:rsidR="009538C8">
        <w:rPr>
          <w:rFonts w:ascii="Times New Roman" w:hAnsi="Times New Roman"/>
          <w:lang w:bidi="en-US"/>
        </w:rPr>
        <w:t xml:space="preserve">operational and </w:t>
      </w:r>
      <w:r w:rsidRPr="00442AFE">
        <w:rPr>
          <w:rFonts w:ascii="Times New Roman" w:hAnsi="Times New Roman"/>
          <w:lang w:bidi="en-US"/>
        </w:rPr>
        <w:t>fiscal health of your program</w:t>
      </w:r>
      <w:r>
        <w:rPr>
          <w:rFonts w:ascii="Times New Roman" w:hAnsi="Times New Roman"/>
          <w:lang w:bidi="en-US"/>
        </w:rPr>
        <w:t xml:space="preserve">: </w:t>
      </w:r>
    </w:p>
    <w:p w:rsidR="006560AE" w:rsidRPr="00524693" w:rsidRDefault="006560AE" w:rsidP="006560AE">
      <w:pPr>
        <w:rPr>
          <w:lang w:bidi="en-US"/>
        </w:rPr>
      </w:pPr>
      <w:r>
        <w:rPr>
          <w:lang w:bidi="en-US"/>
        </w:rPr>
        <w:t xml:space="preserve"> </w:t>
      </w:r>
    </w:p>
    <w:p w:rsidR="006250B0" w:rsidRPr="007C7F36" w:rsidRDefault="006250B0" w:rsidP="006250B0">
      <w:pPr>
        <w:pStyle w:val="ListParagraph"/>
        <w:numPr>
          <w:ilvl w:val="0"/>
          <w:numId w:val="37"/>
        </w:numPr>
      </w:pPr>
      <w:r>
        <w:rPr>
          <w:rFonts w:ascii="Times New Roman" w:hAnsi="Times New Roman"/>
        </w:rPr>
        <w:t xml:space="preserve">A lipid clinic service should not be perceived as a mechanism to ciphen off straight-forward dyslipidemia cases which can be managed by most local providers.  Lipid clinics best function when they focus and demonstrate proficiency at addressing more complex cases of dyslipidemia and dyslipoproteinemia and special populations such as PCOS, HIV, or pediatric dyslipidemia and/or those who are high risk but have historically been resistant or unresponsive to therapy including statin intolerance.  </w:t>
      </w:r>
      <w:r w:rsidRPr="001D2F0C">
        <w:rPr>
          <w:rFonts w:ascii="Times New Roman" w:hAnsi="Times New Roman"/>
        </w:rPr>
        <w:t xml:space="preserve">. </w:t>
      </w:r>
      <w:r>
        <w:rPr>
          <w:rFonts w:ascii="Times New Roman" w:hAnsi="Times New Roman"/>
        </w:rPr>
        <w:t xml:space="preserve"> Lipid clinic visits should warrant separate dedicated visit time to more challenging cases requiring a higher level of clinical and laboratory evaluation and medical decision making that clearly justifying greater than 99211 or even 99212 CPT codes. </w:t>
      </w:r>
    </w:p>
    <w:p w:rsidR="006250B0" w:rsidRPr="007C7F36" w:rsidRDefault="006250B0" w:rsidP="006250B0">
      <w:pPr>
        <w:pStyle w:val="ListParagraph"/>
        <w:rPr>
          <w:rFonts w:ascii="Times New Roman" w:hAnsi="Times New Roman"/>
        </w:rPr>
      </w:pPr>
    </w:p>
    <w:p w:rsidR="006250B0" w:rsidRDefault="006250B0" w:rsidP="006250B0">
      <w:pPr>
        <w:pStyle w:val="ListParagraph"/>
        <w:ind w:left="1080"/>
        <w:rPr>
          <w:rFonts w:ascii="Times New Roman" w:hAnsi="Times New Roman"/>
        </w:rPr>
      </w:pPr>
      <w:r>
        <w:rPr>
          <w:rFonts w:ascii="Times New Roman" w:hAnsi="Times New Roman"/>
        </w:rPr>
        <w:t xml:space="preserve">*Remember also that you can offer a very helpful and productive service: </w:t>
      </w:r>
      <w:r w:rsidR="000963B0">
        <w:rPr>
          <w:rFonts w:ascii="Times New Roman" w:hAnsi="Times New Roman"/>
          <w:b/>
        </w:rPr>
        <w:t xml:space="preserve">diagnostic only </w:t>
      </w:r>
      <w:r w:rsidRPr="00232D8C">
        <w:rPr>
          <w:rFonts w:ascii="Times New Roman" w:hAnsi="Times New Roman"/>
          <w:b/>
        </w:rPr>
        <w:t>service</w:t>
      </w:r>
      <w:r>
        <w:rPr>
          <w:rFonts w:ascii="Times New Roman" w:hAnsi="Times New Roman"/>
        </w:rPr>
        <w:t xml:space="preserve"> with recommendations for therapy (see example referral form -  Figure below).  Clinic referral forms should not be overly complex but should be simple and straight forward.</w:t>
      </w:r>
    </w:p>
    <w:p w:rsidR="006250B0" w:rsidRDefault="006250B0" w:rsidP="006250B0">
      <w:pPr>
        <w:pStyle w:val="ListParagraph"/>
        <w:ind w:left="1080"/>
        <w:rPr>
          <w:rFonts w:ascii="Times New Roman" w:hAnsi="Times New Roman"/>
        </w:rPr>
      </w:pPr>
    </w:p>
    <w:p w:rsidR="006560AE" w:rsidRDefault="006560AE" w:rsidP="006250B0">
      <w:pPr>
        <w:pStyle w:val="ListParagraph"/>
        <w:numPr>
          <w:ilvl w:val="0"/>
          <w:numId w:val="37"/>
        </w:numPr>
        <w:rPr>
          <w:rFonts w:ascii="Times New Roman" w:hAnsi="Times New Roman"/>
        </w:rPr>
      </w:pPr>
      <w:r w:rsidRPr="001D2F0C">
        <w:rPr>
          <w:rFonts w:ascii="Times New Roman" w:hAnsi="Times New Roman"/>
        </w:rPr>
        <w:t>Be judicious with new patient and return visit time. i.e., new patient visits should not last longer than 20-25 minutes and return visits no more than 10-15 minutes.  This would allow at least 2 new patient visits an hour or 3-</w:t>
      </w:r>
      <w:r w:rsidR="00C74694">
        <w:rPr>
          <w:rFonts w:ascii="Times New Roman" w:hAnsi="Times New Roman"/>
        </w:rPr>
        <w:t>6</w:t>
      </w:r>
      <w:r w:rsidRPr="001D2F0C">
        <w:rPr>
          <w:rFonts w:ascii="Times New Roman" w:hAnsi="Times New Roman"/>
        </w:rPr>
        <w:t xml:space="preserve"> return visits an hour.</w:t>
      </w:r>
    </w:p>
    <w:p w:rsidR="006560AE" w:rsidRDefault="006560AE" w:rsidP="006560AE">
      <w:pPr>
        <w:pStyle w:val="ListParagraph"/>
        <w:ind w:left="1080"/>
        <w:rPr>
          <w:rFonts w:ascii="Times New Roman" w:hAnsi="Times New Roman"/>
        </w:rPr>
      </w:pPr>
    </w:p>
    <w:p w:rsidR="006560AE" w:rsidRPr="006250B0" w:rsidRDefault="006560AE" w:rsidP="006250B0">
      <w:pPr>
        <w:pStyle w:val="ListParagraph"/>
        <w:numPr>
          <w:ilvl w:val="0"/>
          <w:numId w:val="37"/>
        </w:numPr>
        <w:rPr>
          <w:rFonts w:ascii="Times New Roman" w:hAnsi="Times New Roman"/>
        </w:rPr>
      </w:pPr>
      <w:r w:rsidRPr="006250B0">
        <w:rPr>
          <w:rFonts w:ascii="Times New Roman" w:hAnsi="Times New Roman"/>
        </w:rPr>
        <w:t xml:space="preserve">One way to improve on patient throughput (i.e., increasing the number of return patients seen in an hour) is to have a standing monthly (or more frequent) 75-minute </w:t>
      </w:r>
      <w:r w:rsidRPr="006250B0">
        <w:rPr>
          <w:rFonts w:ascii="Times New Roman" w:hAnsi="Times New Roman"/>
        </w:rPr>
        <w:lastRenderedPageBreak/>
        <w:t>patient group education meeting facilitated by a lipid-specialist staff person whereby patients can get more practical therapeutic lifestyle instruction as well as problem solving.  This process can defer many of the lesser issues and questions patients have from the exam room to the classroom and decrease return visit time.  Relatively small “co-payments” of ~$10 per patient can be generated from each of these meetings.</w:t>
      </w:r>
    </w:p>
    <w:p w:rsidR="006560AE" w:rsidRPr="001D2F0C" w:rsidRDefault="006560AE" w:rsidP="006560AE">
      <w:pPr>
        <w:pStyle w:val="ListParagraph"/>
        <w:rPr>
          <w:rFonts w:ascii="Times New Roman" w:hAnsi="Times New Roman"/>
        </w:rPr>
      </w:pPr>
    </w:p>
    <w:p w:rsidR="001A0B97" w:rsidRPr="001A0B97" w:rsidRDefault="006560AE" w:rsidP="006250B0">
      <w:pPr>
        <w:pStyle w:val="ListParagraph"/>
        <w:numPr>
          <w:ilvl w:val="0"/>
          <w:numId w:val="37"/>
        </w:numPr>
        <w:rPr>
          <w:rFonts w:ascii="Times New Roman" w:hAnsi="Times New Roman"/>
          <w:color w:val="000000" w:themeColor="text1"/>
        </w:rPr>
      </w:pPr>
      <w:r w:rsidRPr="001D2F0C">
        <w:rPr>
          <w:rFonts w:ascii="Times New Roman" w:hAnsi="Times New Roman"/>
        </w:rPr>
        <w:t xml:space="preserve">Be knowledgeable of the current Medicare allowable payments specific for your geographic area for each of the CPT codes you bill with (new and return patient visits). </w:t>
      </w:r>
      <w:r w:rsidR="003270DF">
        <w:rPr>
          <w:rFonts w:ascii="Times New Roman" w:hAnsi="Times New Roman"/>
        </w:rPr>
        <w:t xml:space="preserve"> See CMS website referenced</w:t>
      </w:r>
      <w:r>
        <w:rPr>
          <w:rFonts w:ascii="Times New Roman" w:hAnsi="Times New Roman"/>
        </w:rPr>
        <w:t xml:space="preserve"> earlier.</w:t>
      </w:r>
      <w:r w:rsidR="001A0B97">
        <w:rPr>
          <w:rFonts w:ascii="Times New Roman" w:hAnsi="Times New Roman"/>
        </w:rPr>
        <w:t xml:space="preserve"> </w:t>
      </w:r>
    </w:p>
    <w:p w:rsidR="001A0B97" w:rsidRPr="001A0B97" w:rsidRDefault="001A0B97" w:rsidP="001A0B97">
      <w:pPr>
        <w:pStyle w:val="ListParagraph"/>
        <w:rPr>
          <w:rFonts w:ascii="Times New Roman" w:hAnsi="Times New Roman"/>
        </w:rPr>
      </w:pPr>
    </w:p>
    <w:p w:rsidR="006560AE" w:rsidRDefault="001A0B97" w:rsidP="001A0B97">
      <w:pPr>
        <w:tabs>
          <w:tab w:val="num" w:pos="1080"/>
        </w:tabs>
        <w:ind w:left="1080"/>
        <w:rPr>
          <w:rFonts w:ascii="Times New Roman" w:hAnsi="Times New Roman"/>
          <w:color w:val="000000" w:themeColor="text1"/>
        </w:rPr>
      </w:pPr>
      <w:r>
        <w:rPr>
          <w:rFonts w:ascii="Times New Roman" w:hAnsi="Times New Roman"/>
        </w:rPr>
        <w:t>*</w:t>
      </w:r>
      <w:r w:rsidRPr="001A0B97">
        <w:rPr>
          <w:rFonts w:ascii="Times New Roman" w:hAnsi="Times New Roman"/>
        </w:rPr>
        <w:t xml:space="preserve">As important as CPT familiarity is </w:t>
      </w:r>
      <w:r w:rsidR="00E91593">
        <w:rPr>
          <w:rFonts w:ascii="Times New Roman" w:hAnsi="Times New Roman"/>
        </w:rPr>
        <w:t xml:space="preserve">familiarity with </w:t>
      </w:r>
      <w:r w:rsidR="007F4A9D">
        <w:rPr>
          <w:rFonts w:ascii="Times New Roman" w:hAnsi="Times New Roman"/>
        </w:rPr>
        <w:t>new</w:t>
      </w:r>
      <w:r w:rsidRPr="001A0B97">
        <w:rPr>
          <w:rFonts w:ascii="Times New Roman" w:hAnsi="Times New Roman"/>
        </w:rPr>
        <w:t xml:space="preserve"> ICD-10 coding system</w:t>
      </w:r>
      <w:r w:rsidR="00836DD9">
        <w:rPr>
          <w:rFonts w:ascii="Times New Roman" w:hAnsi="Times New Roman"/>
        </w:rPr>
        <w:t xml:space="preserve"> (October 2015)</w:t>
      </w:r>
      <w:r w:rsidRPr="001A0B97">
        <w:rPr>
          <w:rFonts w:ascii="Times New Roman" w:hAnsi="Times New Roman"/>
        </w:rPr>
        <w:t xml:space="preserve">.  </w:t>
      </w:r>
      <w:r w:rsidRPr="001A0B97">
        <w:rPr>
          <w:rFonts w:ascii="Times New Roman" w:hAnsi="Times New Roman"/>
          <w:color w:val="000000" w:themeColor="text1"/>
        </w:rPr>
        <w:t xml:space="preserve">The U.S. Department of </w:t>
      </w:r>
      <w:r>
        <w:rPr>
          <w:rFonts w:ascii="Times New Roman" w:hAnsi="Times New Roman"/>
          <w:color w:val="000000" w:themeColor="text1"/>
        </w:rPr>
        <w:t>Health and Human Services h</w:t>
      </w:r>
      <w:r w:rsidRPr="001A0B97">
        <w:rPr>
          <w:rFonts w:ascii="Times New Roman" w:hAnsi="Times New Roman"/>
          <w:color w:val="000000" w:themeColor="text1"/>
        </w:rPr>
        <w:t xml:space="preserve">as mandated the replacement of the ICD-9-CM code sets used by medical coders and billers to report health care diagnoses and procedures with ICD-10 code sets, effective </w:t>
      </w:r>
      <w:r w:rsidR="00F83A74">
        <w:rPr>
          <w:rFonts w:ascii="Times New Roman" w:hAnsi="Times New Roman"/>
          <w:color w:val="000000" w:themeColor="text1"/>
        </w:rPr>
        <w:t xml:space="preserve">October </w:t>
      </w:r>
      <w:r w:rsidR="00B91504">
        <w:rPr>
          <w:rFonts w:ascii="Times New Roman" w:hAnsi="Times New Roman"/>
          <w:color w:val="000000" w:themeColor="text1"/>
        </w:rPr>
        <w:t>201</w:t>
      </w:r>
      <w:r w:rsidR="00F83A74">
        <w:rPr>
          <w:rFonts w:ascii="Times New Roman" w:hAnsi="Times New Roman"/>
          <w:color w:val="000000" w:themeColor="text1"/>
        </w:rPr>
        <w:t>5</w:t>
      </w:r>
      <w:r w:rsidRPr="001A0B97">
        <w:rPr>
          <w:rFonts w:ascii="Times New Roman" w:hAnsi="Times New Roman"/>
          <w:color w:val="000000" w:themeColor="text1"/>
        </w:rPr>
        <w:t>. ICD-10 implementation will radically change the way coding is currently done and will require a significant effort to implement.</w:t>
      </w:r>
      <w:r>
        <w:rPr>
          <w:rFonts w:ascii="Times New Roman" w:hAnsi="Times New Roman"/>
          <w:color w:val="000000" w:themeColor="text1"/>
        </w:rPr>
        <w:t xml:space="preserve">  These new codes will be somewhat more discriminating on the specificity</w:t>
      </w:r>
      <w:r w:rsidR="007F4A9D">
        <w:rPr>
          <w:rFonts w:ascii="Times New Roman" w:hAnsi="Times New Roman"/>
          <w:color w:val="000000" w:themeColor="text1"/>
        </w:rPr>
        <w:t xml:space="preserve"> of lipid/lipoprotein disorders (see powerpoint Table below for key lipidcentric ICD-10 codes).</w:t>
      </w:r>
    </w:p>
    <w:p w:rsidR="007F4A9D" w:rsidRDefault="007F4A9D" w:rsidP="001A0B97">
      <w:pPr>
        <w:tabs>
          <w:tab w:val="num" w:pos="1080"/>
        </w:tabs>
        <w:ind w:left="1080"/>
        <w:rPr>
          <w:rFonts w:ascii="Times New Roman" w:hAnsi="Times New Roman"/>
          <w:color w:val="000000" w:themeColor="text1"/>
        </w:rPr>
      </w:pPr>
    </w:p>
    <w:p w:rsidR="007F4A9D" w:rsidRDefault="007F4A9D" w:rsidP="001A0B97">
      <w:pPr>
        <w:tabs>
          <w:tab w:val="num" w:pos="1080"/>
        </w:tabs>
        <w:ind w:left="1080"/>
        <w:rPr>
          <w:rFonts w:ascii="Times New Roman" w:hAnsi="Times New Roman"/>
          <w:color w:val="000000" w:themeColor="text1"/>
        </w:rPr>
      </w:pPr>
    </w:p>
    <w:p w:rsidR="007F4A9D" w:rsidRDefault="007F4A9D" w:rsidP="001A0B97">
      <w:pPr>
        <w:tabs>
          <w:tab w:val="num" w:pos="1080"/>
        </w:tabs>
        <w:ind w:left="1080"/>
        <w:rPr>
          <w:rFonts w:ascii="Times New Roman" w:hAnsi="Times New Roman"/>
          <w:color w:val="000000" w:themeColor="text1"/>
        </w:rPr>
      </w:pPr>
      <w:r>
        <w:rPr>
          <w:noProof/>
        </w:rPr>
        <w:drawing>
          <wp:inline distT="0" distB="0" distL="0" distR="0" wp14:anchorId="262DB0AA" wp14:editId="41DF434C">
            <wp:extent cx="5525277" cy="41237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529788" cy="4127110"/>
                    </a:xfrm>
                    <a:prstGeom prst="rect">
                      <a:avLst/>
                    </a:prstGeom>
                  </pic:spPr>
                </pic:pic>
              </a:graphicData>
            </a:graphic>
          </wp:inline>
        </w:drawing>
      </w:r>
    </w:p>
    <w:p w:rsidR="00857F2C" w:rsidRDefault="00857F2C" w:rsidP="001A0B97">
      <w:pPr>
        <w:tabs>
          <w:tab w:val="num" w:pos="1080"/>
        </w:tabs>
        <w:ind w:left="1080"/>
        <w:rPr>
          <w:rFonts w:ascii="Times New Roman" w:hAnsi="Times New Roman"/>
          <w:color w:val="000000" w:themeColor="text1"/>
        </w:rPr>
      </w:pPr>
    </w:p>
    <w:p w:rsidR="00857F2C" w:rsidRPr="00857F2C" w:rsidRDefault="00857F2C" w:rsidP="006250B0">
      <w:pPr>
        <w:pStyle w:val="ListParagraph"/>
        <w:numPr>
          <w:ilvl w:val="0"/>
          <w:numId w:val="37"/>
        </w:numPr>
        <w:rPr>
          <w:rFonts w:ascii="Times New Roman" w:hAnsi="Times New Roman"/>
          <w:color w:val="000000" w:themeColor="text1"/>
        </w:rPr>
      </w:pPr>
      <w:r w:rsidRPr="00857F2C">
        <w:rPr>
          <w:rFonts w:ascii="Times New Roman" w:hAnsi="Times New Roman"/>
        </w:rPr>
        <w:lastRenderedPageBreak/>
        <w:t xml:space="preserve">Be </w:t>
      </w:r>
      <w:r w:rsidR="00ED45E0">
        <w:rPr>
          <w:rFonts w:ascii="Times New Roman" w:hAnsi="Times New Roman"/>
        </w:rPr>
        <w:t>prepared to adapt future (</w:t>
      </w:r>
      <w:r w:rsidR="00F83A74">
        <w:rPr>
          <w:rFonts w:ascii="Times New Roman" w:hAnsi="Times New Roman"/>
        </w:rPr>
        <w:t>2015-16</w:t>
      </w:r>
      <w:r w:rsidR="00AB7470">
        <w:rPr>
          <w:rFonts w:ascii="Times New Roman" w:hAnsi="Times New Roman"/>
        </w:rPr>
        <w:t xml:space="preserve">) </w:t>
      </w:r>
      <w:r w:rsidRPr="00857F2C">
        <w:rPr>
          <w:rFonts w:ascii="Times New Roman" w:hAnsi="Times New Roman"/>
        </w:rPr>
        <w:t xml:space="preserve">Medicare </w:t>
      </w:r>
      <w:r w:rsidR="00AB7470">
        <w:rPr>
          <w:rFonts w:ascii="Times New Roman" w:hAnsi="Times New Roman"/>
        </w:rPr>
        <w:t xml:space="preserve"> payment </w:t>
      </w:r>
      <w:r w:rsidRPr="00857F2C">
        <w:rPr>
          <w:rFonts w:ascii="Times New Roman" w:hAnsi="Times New Roman"/>
        </w:rPr>
        <w:t xml:space="preserve">freezes or decreases in office visit reimbursement rates depending on your practice setting, i.e., primary care physicians vs specialists.  </w:t>
      </w:r>
    </w:p>
    <w:p w:rsidR="006560AE" w:rsidRPr="001A0B97" w:rsidRDefault="006560AE" w:rsidP="006560AE">
      <w:pPr>
        <w:pStyle w:val="ListParagraph"/>
        <w:rPr>
          <w:rFonts w:ascii="Times New Roman" w:hAnsi="Times New Roman"/>
          <w:color w:val="000000" w:themeColor="text1"/>
        </w:rPr>
      </w:pPr>
    </w:p>
    <w:p w:rsidR="009538C8" w:rsidRDefault="006560AE" w:rsidP="009538C8">
      <w:pPr>
        <w:pStyle w:val="ListParagraph"/>
        <w:numPr>
          <w:ilvl w:val="0"/>
          <w:numId w:val="37"/>
        </w:numPr>
        <w:rPr>
          <w:rFonts w:ascii="Times New Roman" w:hAnsi="Times New Roman"/>
        </w:rPr>
      </w:pPr>
      <w:r w:rsidRPr="001D2F0C">
        <w:rPr>
          <w:rFonts w:ascii="Times New Roman" w:hAnsi="Times New Roman"/>
        </w:rPr>
        <w:t>Consider a concierge</w:t>
      </w:r>
      <w:r w:rsidR="00756210">
        <w:rPr>
          <w:rFonts w:ascii="Times New Roman" w:hAnsi="Times New Roman"/>
        </w:rPr>
        <w:t xml:space="preserve"> or cash-only</w:t>
      </w:r>
      <w:r w:rsidRPr="001D2F0C">
        <w:rPr>
          <w:rFonts w:ascii="Times New Roman" w:hAnsi="Times New Roman"/>
        </w:rPr>
        <w:t xml:space="preserve"> delivery approach to lipid and cardiometabolic risk management programming, i.e., annual cash fee for services. </w:t>
      </w:r>
      <w:r w:rsidR="009859DC">
        <w:rPr>
          <w:rFonts w:ascii="Times New Roman" w:hAnsi="Times New Roman"/>
        </w:rPr>
        <w:t>For this to work you will clearly have to offer meaningful value (clinic visits, labs, education).</w:t>
      </w:r>
      <w:r w:rsidRPr="001D2F0C">
        <w:rPr>
          <w:rFonts w:ascii="Times New Roman" w:hAnsi="Times New Roman"/>
        </w:rPr>
        <w:t xml:space="preserve"> This approach is growing in popularity but requires judicious pricing and service packaging. </w:t>
      </w:r>
      <w:r w:rsidR="006152A4">
        <w:rPr>
          <w:rFonts w:ascii="Times New Roman" w:hAnsi="Times New Roman"/>
        </w:rPr>
        <w:t>There are rules and regulations governing concierge-level programs.</w:t>
      </w:r>
    </w:p>
    <w:p w:rsidR="009538C8" w:rsidRPr="009538C8" w:rsidRDefault="009538C8" w:rsidP="009538C8">
      <w:pPr>
        <w:pStyle w:val="ListParagraph"/>
        <w:rPr>
          <w:rFonts w:ascii="Times New Roman" w:hAnsi="Times New Roman"/>
        </w:rPr>
      </w:pPr>
    </w:p>
    <w:p w:rsidR="006B1BA1" w:rsidRDefault="006B1BA1" w:rsidP="00BB0EA4">
      <w:pPr>
        <w:pStyle w:val="ListParagraph"/>
        <w:numPr>
          <w:ilvl w:val="0"/>
          <w:numId w:val="37"/>
        </w:numPr>
        <w:rPr>
          <w:rFonts w:ascii="Times New Roman" w:hAnsi="Times New Roman"/>
          <w:i/>
        </w:rPr>
      </w:pPr>
      <w:r w:rsidRPr="009538C8">
        <w:rPr>
          <w:rFonts w:ascii="Times New Roman" w:hAnsi="Times New Roman"/>
        </w:rPr>
        <w:t>Become familiar with patient centered medical homes (PCMH’s) and acco</w:t>
      </w:r>
      <w:r w:rsidR="00836DD9">
        <w:rPr>
          <w:rFonts w:ascii="Times New Roman" w:hAnsi="Times New Roman"/>
        </w:rPr>
        <w:t>untable care organizations (ACOs</w:t>
      </w:r>
      <w:r w:rsidRPr="009538C8">
        <w:rPr>
          <w:rFonts w:ascii="Times New Roman" w:hAnsi="Times New Roman"/>
        </w:rPr>
        <w:t>) and become proactive in working with these</w:t>
      </w:r>
      <w:r w:rsidR="00C663C8" w:rsidRPr="009538C8">
        <w:rPr>
          <w:rFonts w:ascii="Times New Roman" w:hAnsi="Times New Roman"/>
        </w:rPr>
        <w:t xml:space="preserve"> groups to </w:t>
      </w:r>
      <w:r w:rsidR="00E33710" w:rsidRPr="009538C8">
        <w:rPr>
          <w:rFonts w:ascii="Times New Roman" w:hAnsi="Times New Roman"/>
        </w:rPr>
        <w:t xml:space="preserve">advise and </w:t>
      </w:r>
      <w:r w:rsidR="00C663C8" w:rsidRPr="009538C8">
        <w:rPr>
          <w:rFonts w:ascii="Times New Roman" w:hAnsi="Times New Roman"/>
        </w:rPr>
        <w:t>demonstrate complex</w:t>
      </w:r>
      <w:r w:rsidRPr="009538C8">
        <w:rPr>
          <w:rFonts w:ascii="Times New Roman" w:hAnsi="Times New Roman"/>
        </w:rPr>
        <w:t xml:space="preserve"> lipid disorder</w:t>
      </w:r>
      <w:r w:rsidR="005D6798" w:rsidRPr="009538C8">
        <w:rPr>
          <w:rFonts w:ascii="Times New Roman" w:hAnsi="Times New Roman"/>
        </w:rPr>
        <w:t xml:space="preserve"> and high cardiometabolic risk</w:t>
      </w:r>
      <w:r w:rsidRPr="009538C8">
        <w:rPr>
          <w:rFonts w:ascii="Times New Roman" w:hAnsi="Times New Roman"/>
        </w:rPr>
        <w:t xml:space="preserve"> referral criteria</w:t>
      </w:r>
      <w:r w:rsidR="005D6798" w:rsidRPr="009538C8">
        <w:rPr>
          <w:rFonts w:ascii="Times New Roman" w:hAnsi="Times New Roman"/>
        </w:rPr>
        <w:t>.</w:t>
      </w:r>
      <w:r w:rsidR="009538C8" w:rsidRPr="009538C8">
        <w:t xml:space="preserve"> </w:t>
      </w:r>
      <w:r w:rsidR="009538C8" w:rsidRPr="009538C8">
        <w:rPr>
          <w:rFonts w:ascii="Times New Roman" w:hAnsi="Times New Roman"/>
        </w:rPr>
        <w:t xml:space="preserve"> It is paramount that you understand that these organizations are very sensitive to costs, e.g., excessive laboratory testing, quality of care, and objectively measured outcomes.</w:t>
      </w:r>
      <w:r w:rsidR="00E176C8">
        <w:rPr>
          <w:rFonts w:ascii="Times New Roman" w:hAnsi="Times New Roman"/>
        </w:rPr>
        <w:t xml:space="preserve"> Note that the NCQA quality measures for dyslipidemia</w:t>
      </w:r>
      <w:r w:rsidR="00BB0EA4">
        <w:rPr>
          <w:rFonts w:ascii="Times New Roman" w:hAnsi="Times New Roman"/>
        </w:rPr>
        <w:t>, BMI, etc.</w:t>
      </w:r>
      <w:r w:rsidR="00E176C8">
        <w:rPr>
          <w:rFonts w:ascii="Times New Roman" w:hAnsi="Times New Roman"/>
        </w:rPr>
        <w:t xml:space="preserve"> are not difficult to achieve</w:t>
      </w:r>
      <w:r w:rsidR="00BB0EA4">
        <w:rPr>
          <w:rFonts w:ascii="Times New Roman" w:hAnsi="Times New Roman"/>
        </w:rPr>
        <w:t xml:space="preserve"> for well-organized lipid and CMR programs</w:t>
      </w:r>
      <w:r w:rsidR="00E176C8" w:rsidRPr="00BB0EA4">
        <w:rPr>
          <w:rFonts w:ascii="Times New Roman" w:hAnsi="Times New Roman"/>
        </w:rPr>
        <w:t>.</w:t>
      </w:r>
      <w:r w:rsidR="00BB0EA4" w:rsidRPr="00BB0EA4">
        <w:rPr>
          <w:rFonts w:ascii="Times New Roman" w:hAnsi="Times New Roman"/>
        </w:rPr>
        <w:t xml:space="preserve"> See: </w:t>
      </w:r>
      <w:hyperlink r:id="rId16" w:history="1">
        <w:r w:rsidR="00DB1225" w:rsidRPr="0014766B">
          <w:rPr>
            <w:rStyle w:val="Hyperlink"/>
            <w:rFonts w:ascii="Times New Roman" w:hAnsi="Times New Roman"/>
            <w:i/>
          </w:rPr>
          <w:t>http://www.ncqa.org/tabid/59/default.aspx</w:t>
        </w:r>
      </w:hyperlink>
      <w:r w:rsidR="00BB0EA4" w:rsidRPr="00BB0EA4">
        <w:rPr>
          <w:rFonts w:ascii="Times New Roman" w:hAnsi="Times New Roman"/>
          <w:i/>
        </w:rPr>
        <w:t>.</w:t>
      </w:r>
    </w:p>
    <w:p w:rsidR="00DB1225" w:rsidRPr="00DB1225" w:rsidRDefault="00DB1225" w:rsidP="00DB1225">
      <w:pPr>
        <w:pStyle w:val="ListParagraph"/>
        <w:rPr>
          <w:rFonts w:ascii="Times New Roman" w:hAnsi="Times New Roman"/>
          <w:i/>
        </w:rPr>
      </w:pPr>
    </w:p>
    <w:p w:rsidR="00DB1225" w:rsidRPr="00DB1225" w:rsidRDefault="00DB1225" w:rsidP="00BB0EA4">
      <w:pPr>
        <w:pStyle w:val="ListParagraph"/>
        <w:numPr>
          <w:ilvl w:val="0"/>
          <w:numId w:val="37"/>
        </w:numPr>
        <w:rPr>
          <w:rFonts w:ascii="Times New Roman" w:hAnsi="Times New Roman"/>
        </w:rPr>
      </w:pPr>
      <w:r w:rsidRPr="00DB1225">
        <w:rPr>
          <w:rFonts w:ascii="Times New Roman" w:hAnsi="Times New Roman"/>
        </w:rPr>
        <w:t xml:space="preserve">Consider enrolling in </w:t>
      </w:r>
      <w:r w:rsidRPr="00DB1225">
        <w:rPr>
          <w:rFonts w:ascii="Times New Roman" w:hAnsi="Times New Roman"/>
          <w:i/>
        </w:rPr>
        <w:t>Medicare’s Chronic Condition Management program</w:t>
      </w:r>
      <w:r w:rsidRPr="00DB1225">
        <w:rPr>
          <w:rFonts w:ascii="Times New Roman" w:hAnsi="Times New Roman"/>
        </w:rPr>
        <w:t>.</w:t>
      </w:r>
      <w:r w:rsidRPr="00DB1225">
        <w:rPr>
          <w:rFonts w:ascii="Arial" w:eastAsiaTheme="minorEastAsia" w:hAnsi="Arial" w:cstheme="minorBidi"/>
          <w:snapToGrid w:val="0"/>
          <w:color w:val="000000" w:themeColor="text1"/>
          <w:kern w:val="24"/>
          <w:szCs w:val="20"/>
          <w:lang w:bidi="ar-SA"/>
        </w:rPr>
        <w:t xml:space="preserve"> </w:t>
      </w:r>
      <w:r w:rsidRPr="00DB1225">
        <w:rPr>
          <w:rFonts w:ascii="Times New Roman" w:hAnsi="Times New Roman"/>
        </w:rPr>
        <w:t>CPT Code 99490.</w:t>
      </w:r>
      <w:r w:rsidRPr="00DB1225">
        <w:rPr>
          <w:rFonts w:ascii="Arial" w:eastAsiaTheme="minorEastAsia" w:hAnsi="Arial" w:cs="Arial"/>
          <w:snapToGrid w:val="0"/>
          <w:color w:val="000000" w:themeColor="text1"/>
          <w:kern w:val="24"/>
          <w:sz w:val="40"/>
          <w:szCs w:val="40"/>
          <w:lang w:bidi="ar-SA"/>
        </w:rPr>
        <w:t xml:space="preserve"> </w:t>
      </w:r>
      <w:r w:rsidRPr="00DB1225">
        <w:rPr>
          <w:rFonts w:ascii="Times New Roman" w:hAnsi="Times New Roman"/>
        </w:rPr>
        <w:t>The new program will pay physicians for managing Medicare patients with two or more chronic conditions, even when contacts are made by phone or email rather than face to face.</w:t>
      </w:r>
      <w:r w:rsidRPr="00DB1225">
        <w:rPr>
          <w:rFonts w:ascii="Arial" w:eastAsiaTheme="minorEastAsia" w:hAnsi="Arial" w:cs="Arial"/>
          <w:snapToGrid w:val="0"/>
          <w:color w:val="000000" w:themeColor="text1"/>
          <w:kern w:val="24"/>
          <w:sz w:val="40"/>
          <w:szCs w:val="40"/>
          <w:lang w:bidi="ar-SA"/>
        </w:rPr>
        <w:t xml:space="preserve"> </w:t>
      </w:r>
      <w:r w:rsidRPr="00DB1225">
        <w:rPr>
          <w:rFonts w:ascii="Times New Roman" w:hAnsi="Times New Roman"/>
        </w:rPr>
        <w:t xml:space="preserve">Providers, including midlevel practitioners, will be paid $40.39 per patient per month for providing </w:t>
      </w:r>
      <w:r w:rsidRPr="00DB1225">
        <w:rPr>
          <w:rFonts w:ascii="Times New Roman" w:hAnsi="Times New Roman"/>
          <w:u w:val="single"/>
        </w:rPr>
        <w:t>at least 20 minutes</w:t>
      </w:r>
      <w:r w:rsidRPr="00DB1225">
        <w:rPr>
          <w:rFonts w:ascii="Times New Roman" w:hAnsi="Times New Roman"/>
        </w:rPr>
        <w:t xml:space="preserve"> of care.</w:t>
      </w:r>
      <w:r w:rsidRPr="00DB1225">
        <w:rPr>
          <w:rFonts w:eastAsiaTheme="minorEastAsia" w:hAnsi="Calibri" w:cstheme="minorBidi"/>
          <w:snapToGrid w:val="0"/>
          <w:color w:val="000000" w:themeColor="text1"/>
          <w:kern w:val="24"/>
          <w:szCs w:val="20"/>
          <w:lang w:bidi="ar-SA"/>
        </w:rPr>
        <w:t xml:space="preserve"> </w:t>
      </w:r>
      <w:r w:rsidRPr="00DB1225">
        <w:rPr>
          <w:rFonts w:ascii="Times New Roman" w:hAnsi="Times New Roman"/>
        </w:rPr>
        <w:t>To qualify for the program, physicians need to have EHR systems and be able to exchange information on the patient with other caregivers. Also, they or their staff must be available to patients around the clock. To accommodate this, Medicare has loosened its "incident to" rule, which requires doctors to directly supervise staff. All medical specialties are eligible for this program.</w:t>
      </w:r>
    </w:p>
    <w:p w:rsidR="006560AE" w:rsidRPr="00BB0EA4" w:rsidRDefault="006560AE" w:rsidP="006560AE">
      <w:pPr>
        <w:pStyle w:val="ListParagraph"/>
        <w:rPr>
          <w:rFonts w:ascii="Times New Roman" w:hAnsi="Times New Roman"/>
          <w:i/>
        </w:rPr>
      </w:pPr>
    </w:p>
    <w:p w:rsidR="006560AE" w:rsidRPr="001D2F0C" w:rsidRDefault="006560AE" w:rsidP="006250B0">
      <w:pPr>
        <w:pStyle w:val="ListParagraph"/>
        <w:numPr>
          <w:ilvl w:val="0"/>
          <w:numId w:val="37"/>
        </w:numPr>
        <w:rPr>
          <w:rFonts w:ascii="Times New Roman" w:hAnsi="Times New Roman"/>
        </w:rPr>
      </w:pPr>
      <w:r w:rsidRPr="001D2F0C">
        <w:rPr>
          <w:rFonts w:ascii="Times New Roman" w:hAnsi="Times New Roman"/>
        </w:rPr>
        <w:t>Consider re-engineering your lipid clinic staff to provide alternate day cardiometabolic risk (CMR) reduction services (with focus on high risk primary prevention metabolic syndrome patients, especially your own system’s employees) with your lipid clinic visit days.  There are growing financial incentives for CMR programming particularly when they focus on deferring diabetes risk.</w:t>
      </w:r>
      <w:r w:rsidR="00D8064A">
        <w:rPr>
          <w:rFonts w:ascii="Times New Roman" w:hAnsi="Times New Roman"/>
        </w:rPr>
        <w:t xml:space="preserve"> Such programs can be contracted for </w:t>
      </w:r>
      <w:r w:rsidR="00A94D2A">
        <w:rPr>
          <w:rFonts w:ascii="Times New Roman" w:hAnsi="Times New Roman"/>
        </w:rPr>
        <w:t xml:space="preserve">reasonable per-patient per-year </w:t>
      </w:r>
      <w:r w:rsidR="00D8064A">
        <w:rPr>
          <w:rFonts w:ascii="Times New Roman" w:hAnsi="Times New Roman"/>
        </w:rPr>
        <w:t>rates</w:t>
      </w:r>
      <w:r w:rsidR="00B91504">
        <w:rPr>
          <w:rFonts w:ascii="Times New Roman" w:hAnsi="Times New Roman"/>
        </w:rPr>
        <w:t xml:space="preserve"> (see #13</w:t>
      </w:r>
      <w:r>
        <w:rPr>
          <w:rFonts w:ascii="Times New Roman" w:hAnsi="Times New Roman"/>
        </w:rPr>
        <w:t xml:space="preserve"> below)</w:t>
      </w:r>
    </w:p>
    <w:p w:rsidR="006560AE" w:rsidRDefault="006560AE" w:rsidP="006560AE">
      <w:pPr>
        <w:rPr>
          <w:rFonts w:ascii="Times New Roman" w:hAnsi="Times New Roman"/>
        </w:rPr>
      </w:pPr>
    </w:p>
    <w:p w:rsidR="006560AE" w:rsidRDefault="006560AE" w:rsidP="006560AE">
      <w:pPr>
        <w:rPr>
          <w:rFonts w:ascii="Times New Roman" w:hAnsi="Times New Roman"/>
        </w:rPr>
      </w:pPr>
    </w:p>
    <w:p w:rsidR="006560AE" w:rsidRDefault="006560AE" w:rsidP="006560AE">
      <w:pPr>
        <w:rPr>
          <w:sz w:val="18"/>
          <w:szCs w:val="18"/>
        </w:rPr>
      </w:pPr>
      <w:r w:rsidRPr="00442AFE">
        <w:rPr>
          <w:rFonts w:ascii="Times New Roman" w:hAnsi="Times New Roman"/>
        </w:rPr>
        <w:t xml:space="preserve">Although there are going to be financial challenges ahead (there </w:t>
      </w:r>
      <w:r w:rsidR="00601DB1">
        <w:rPr>
          <w:rFonts w:ascii="Times New Roman" w:hAnsi="Times New Roman"/>
        </w:rPr>
        <w:t>here</w:t>
      </w:r>
      <w:r w:rsidRPr="00442AFE">
        <w:rPr>
          <w:rFonts w:ascii="Times New Roman" w:hAnsi="Times New Roman"/>
        </w:rPr>
        <w:t xml:space="preserve"> already</w:t>
      </w:r>
      <w:r w:rsidR="00C23F5F">
        <w:rPr>
          <w:rFonts w:ascii="Times New Roman" w:hAnsi="Times New Roman"/>
        </w:rPr>
        <w:t xml:space="preserve"> with impending decisions</w:t>
      </w:r>
      <w:r w:rsidR="000A078B">
        <w:rPr>
          <w:rFonts w:ascii="Times New Roman" w:hAnsi="Times New Roman"/>
        </w:rPr>
        <w:t xml:space="preserve"> </w:t>
      </w:r>
      <w:r w:rsidR="00ED45E0">
        <w:rPr>
          <w:rFonts w:ascii="Times New Roman" w:hAnsi="Times New Roman"/>
        </w:rPr>
        <w:t xml:space="preserve">in </w:t>
      </w:r>
      <w:r w:rsidR="00F83A74">
        <w:rPr>
          <w:rFonts w:ascii="Times New Roman" w:hAnsi="Times New Roman"/>
        </w:rPr>
        <w:t>2015</w:t>
      </w:r>
      <w:r w:rsidR="00B91504">
        <w:rPr>
          <w:rFonts w:ascii="Times New Roman" w:hAnsi="Times New Roman"/>
        </w:rPr>
        <w:t xml:space="preserve"> </w:t>
      </w:r>
      <w:r w:rsidR="00C23F5F">
        <w:rPr>
          <w:rFonts w:ascii="Times New Roman" w:hAnsi="Times New Roman"/>
        </w:rPr>
        <w:t>by congress and the Medicare Payment Advisory Commission</w:t>
      </w:r>
      <w:r w:rsidRPr="00442AFE">
        <w:rPr>
          <w:rFonts w:ascii="Times New Roman" w:hAnsi="Times New Roman"/>
        </w:rPr>
        <w:t xml:space="preserve">!!) the more your lipid clinic prepares for very real opportunities to improve care and improve solvency by considering programs such as </w:t>
      </w:r>
      <w:r w:rsidRPr="00442AFE">
        <w:rPr>
          <w:rFonts w:ascii="Times New Roman" w:hAnsi="Times New Roman"/>
          <w:i/>
        </w:rPr>
        <w:t xml:space="preserve">pay-for-performance </w:t>
      </w:r>
      <w:r w:rsidRPr="00442AFE">
        <w:rPr>
          <w:rFonts w:ascii="Times New Roman" w:hAnsi="Times New Roman"/>
        </w:rPr>
        <w:t>adherence to quality measures initiatives and improved skill and proficiency at discounted fee-for-service contracting with at-risk employee groups, particularly those at high risk for cardiometabolic disease, will clearly help contribute to your clinic’s improved solvency and success.</w:t>
      </w:r>
      <w:r w:rsidR="00C23F5F" w:rsidRPr="00C23F5F">
        <w:rPr>
          <w:sz w:val="18"/>
          <w:szCs w:val="18"/>
        </w:rPr>
        <w:t xml:space="preserve"> </w:t>
      </w:r>
    </w:p>
    <w:p w:rsidR="00E950ED" w:rsidRDefault="00E950ED" w:rsidP="006560AE">
      <w:pPr>
        <w:rPr>
          <w:rFonts w:ascii="Times New Roman" w:hAnsi="Times New Roman"/>
        </w:rPr>
      </w:pPr>
    </w:p>
    <w:p w:rsidR="00154701" w:rsidRDefault="00154701">
      <w:pPr>
        <w:rPr>
          <w:rFonts w:ascii="Times New Roman" w:hAnsi="Times New Roman"/>
        </w:rPr>
      </w:pPr>
    </w:p>
    <w:p w:rsidR="00154701" w:rsidRDefault="00DD324C">
      <w:pPr>
        <w:rPr>
          <w:rFonts w:ascii="Times New Roman" w:hAnsi="Times New Roman"/>
          <w:b/>
        </w:rPr>
      </w:pPr>
      <w:r>
        <w:rPr>
          <w:rFonts w:ascii="Times New Roman" w:hAnsi="Times New Roman"/>
          <w:b/>
        </w:rPr>
        <w:t>1</w:t>
      </w:r>
      <w:r w:rsidR="00AB329A">
        <w:rPr>
          <w:rFonts w:ascii="Times New Roman" w:hAnsi="Times New Roman"/>
          <w:b/>
        </w:rPr>
        <w:t>3</w:t>
      </w:r>
      <w:r w:rsidR="00154701" w:rsidRPr="001D2148">
        <w:rPr>
          <w:rFonts w:ascii="Times New Roman" w:hAnsi="Times New Roman"/>
          <w:b/>
        </w:rPr>
        <w:t xml:space="preserve">.  Growing your program beyond your group’s walls:  </w:t>
      </w:r>
      <w:r w:rsidR="009A0DA2">
        <w:rPr>
          <w:rFonts w:ascii="Times New Roman" w:hAnsi="Times New Roman"/>
          <w:b/>
        </w:rPr>
        <w:t>Integrated preventive endocrinology and cardiology service (e.g., high risk metabolic syndrome</w:t>
      </w:r>
      <w:r w:rsidR="001462E3">
        <w:rPr>
          <w:rFonts w:ascii="Times New Roman" w:hAnsi="Times New Roman"/>
          <w:b/>
        </w:rPr>
        <w:t xml:space="preserve"> or</w:t>
      </w:r>
      <w:r w:rsidR="00D10AE1">
        <w:rPr>
          <w:rFonts w:ascii="Times New Roman" w:hAnsi="Times New Roman"/>
          <w:b/>
        </w:rPr>
        <w:t xml:space="preserve"> cardiometabolic </w:t>
      </w:r>
      <w:r w:rsidR="00A2499F">
        <w:rPr>
          <w:rFonts w:ascii="Times New Roman" w:hAnsi="Times New Roman"/>
          <w:b/>
        </w:rPr>
        <w:t>risk reduction program</w:t>
      </w:r>
      <w:r w:rsidR="0074235D">
        <w:rPr>
          <w:rFonts w:ascii="Times New Roman" w:hAnsi="Times New Roman"/>
          <w:b/>
        </w:rPr>
        <w:t>)</w:t>
      </w:r>
    </w:p>
    <w:p w:rsidR="0074235D" w:rsidRDefault="0074235D">
      <w:pPr>
        <w:rPr>
          <w:rFonts w:ascii="Times New Roman" w:hAnsi="Times New Roman"/>
          <w:b/>
        </w:rPr>
      </w:pPr>
    </w:p>
    <w:p w:rsidR="005F6AAD" w:rsidRDefault="00154701">
      <w:pPr>
        <w:tabs>
          <w:tab w:val="left" w:pos="6840"/>
        </w:tabs>
        <w:rPr>
          <w:rFonts w:ascii="Times New Roman" w:hAnsi="Times New Roman"/>
        </w:rPr>
      </w:pPr>
      <w:r>
        <w:rPr>
          <w:rFonts w:ascii="Times New Roman" w:hAnsi="Times New Roman"/>
        </w:rPr>
        <w:t xml:space="preserve">After several years of successful clinic operations some programs will find it </w:t>
      </w:r>
      <w:r w:rsidR="00601DB1">
        <w:rPr>
          <w:rFonts w:ascii="Times New Roman" w:hAnsi="Times New Roman"/>
        </w:rPr>
        <w:t>more productive</w:t>
      </w:r>
      <w:r w:rsidR="00C64384">
        <w:rPr>
          <w:rFonts w:ascii="Times New Roman" w:hAnsi="Times New Roman"/>
        </w:rPr>
        <w:t xml:space="preserve"> and opportunistic</w:t>
      </w:r>
      <w:r>
        <w:rPr>
          <w:rFonts w:ascii="Times New Roman" w:hAnsi="Times New Roman"/>
        </w:rPr>
        <w:t xml:space="preserve"> to expand their services beyond</w:t>
      </w:r>
      <w:r w:rsidR="00D96D62">
        <w:rPr>
          <w:rFonts w:ascii="Times New Roman" w:hAnsi="Times New Roman"/>
        </w:rPr>
        <w:t xml:space="preserve"> lipid management and</w:t>
      </w:r>
      <w:r>
        <w:rPr>
          <w:rFonts w:ascii="Times New Roman" w:hAnsi="Times New Roman"/>
        </w:rPr>
        <w:t xml:space="preserve"> the walls of their provider group.  Oftentimes this </w:t>
      </w:r>
      <w:r w:rsidR="00A00788">
        <w:rPr>
          <w:rFonts w:ascii="Times New Roman" w:hAnsi="Times New Roman"/>
        </w:rPr>
        <w:t>service can be directed</w:t>
      </w:r>
      <w:r>
        <w:rPr>
          <w:rFonts w:ascii="Times New Roman" w:hAnsi="Times New Roman"/>
        </w:rPr>
        <w:t xml:space="preserve"> to high</w:t>
      </w:r>
      <w:r w:rsidR="000C21D0">
        <w:rPr>
          <w:rFonts w:ascii="Times New Roman" w:hAnsi="Times New Roman"/>
        </w:rPr>
        <w:t xml:space="preserve"> </w:t>
      </w:r>
      <w:r w:rsidR="00A00788">
        <w:rPr>
          <w:rFonts w:ascii="Times New Roman" w:hAnsi="Times New Roman"/>
        </w:rPr>
        <w:t>cardiometabolic risk</w:t>
      </w:r>
      <w:r>
        <w:rPr>
          <w:rFonts w:ascii="Times New Roman" w:hAnsi="Times New Roman"/>
        </w:rPr>
        <w:t xml:space="preserve"> patient/employee populations, e</w:t>
      </w:r>
      <w:r w:rsidR="001462E3">
        <w:rPr>
          <w:rFonts w:ascii="Times New Roman" w:hAnsi="Times New Roman"/>
        </w:rPr>
        <w:t>.</w:t>
      </w:r>
      <w:r>
        <w:rPr>
          <w:rFonts w:ascii="Times New Roman" w:hAnsi="Times New Roman"/>
        </w:rPr>
        <w:t>g.</w:t>
      </w:r>
      <w:r w:rsidR="001462E3">
        <w:rPr>
          <w:rFonts w:ascii="Times New Roman" w:hAnsi="Times New Roman"/>
        </w:rPr>
        <w:t>,</w:t>
      </w:r>
      <w:r>
        <w:rPr>
          <w:rFonts w:ascii="Times New Roman" w:hAnsi="Times New Roman"/>
        </w:rPr>
        <w:t xml:space="preserve"> discounted fee-for-service contracting with employee benefits managers</w:t>
      </w:r>
      <w:r w:rsidR="00C23F5F">
        <w:rPr>
          <w:rFonts w:ascii="Times New Roman" w:hAnsi="Times New Roman"/>
        </w:rPr>
        <w:t xml:space="preserve"> including your own</w:t>
      </w:r>
      <w:r w:rsidR="00B3606D">
        <w:rPr>
          <w:rFonts w:ascii="Times New Roman" w:hAnsi="Times New Roman"/>
        </w:rPr>
        <w:t xml:space="preserve"> clinic or hospital</w:t>
      </w:r>
      <w:r w:rsidR="00C23F5F">
        <w:rPr>
          <w:rFonts w:ascii="Times New Roman" w:hAnsi="Times New Roman"/>
        </w:rPr>
        <w:t xml:space="preserve"> employee group</w:t>
      </w:r>
      <w:r>
        <w:rPr>
          <w:rFonts w:ascii="Times New Roman" w:hAnsi="Times New Roman"/>
        </w:rPr>
        <w:t xml:space="preserve">.   </w:t>
      </w:r>
      <w:r w:rsidR="00D10AE1">
        <w:rPr>
          <w:rFonts w:ascii="Times New Roman" w:hAnsi="Times New Roman"/>
        </w:rPr>
        <w:t xml:space="preserve">These programs are best directed at </w:t>
      </w:r>
      <w:r w:rsidR="001C6B2F">
        <w:rPr>
          <w:rFonts w:ascii="Times New Roman" w:hAnsi="Times New Roman"/>
        </w:rPr>
        <w:t xml:space="preserve">high diabetes and </w:t>
      </w:r>
      <w:r>
        <w:rPr>
          <w:rFonts w:ascii="Times New Roman" w:hAnsi="Times New Roman"/>
        </w:rPr>
        <w:t>C</w:t>
      </w:r>
      <w:r w:rsidR="002A5AE5">
        <w:rPr>
          <w:rFonts w:ascii="Times New Roman" w:hAnsi="Times New Roman"/>
        </w:rPr>
        <w:t>V</w:t>
      </w:r>
      <w:r>
        <w:rPr>
          <w:rFonts w:ascii="Times New Roman" w:hAnsi="Times New Roman"/>
        </w:rPr>
        <w:t xml:space="preserve">D risk employee </w:t>
      </w:r>
      <w:r w:rsidR="001C6B2F">
        <w:rPr>
          <w:rFonts w:ascii="Times New Roman" w:hAnsi="Times New Roman"/>
        </w:rPr>
        <w:t xml:space="preserve">groups.  </w:t>
      </w:r>
      <w:r w:rsidR="00C84580">
        <w:rPr>
          <w:rFonts w:ascii="Times New Roman" w:hAnsi="Times New Roman"/>
        </w:rPr>
        <w:t>These individuals represent high health care claims and costs</w:t>
      </w:r>
      <w:r w:rsidR="002A5AE5">
        <w:rPr>
          <w:rFonts w:ascii="Times New Roman" w:hAnsi="Times New Roman"/>
        </w:rPr>
        <w:t xml:space="preserve"> for most employer groups</w:t>
      </w:r>
      <w:r w:rsidR="000C21D0">
        <w:rPr>
          <w:rFonts w:ascii="Times New Roman" w:hAnsi="Times New Roman"/>
        </w:rPr>
        <w:t>.  S</w:t>
      </w:r>
      <w:r w:rsidR="002A5AE5">
        <w:rPr>
          <w:rFonts w:ascii="Times New Roman" w:hAnsi="Times New Roman"/>
        </w:rPr>
        <w:t xml:space="preserve">creening and systematically managing </w:t>
      </w:r>
      <w:r w:rsidR="001B30D4">
        <w:rPr>
          <w:rFonts w:ascii="Times New Roman" w:hAnsi="Times New Roman"/>
        </w:rPr>
        <w:t>those</w:t>
      </w:r>
      <w:r w:rsidR="002A5AE5">
        <w:rPr>
          <w:rFonts w:ascii="Times New Roman" w:hAnsi="Times New Roman"/>
        </w:rPr>
        <w:t xml:space="preserve"> with impaired fasting glucose (prediabetes) and high-risk </w:t>
      </w:r>
      <w:r w:rsidR="007C08D1">
        <w:rPr>
          <w:rFonts w:ascii="Times New Roman" w:hAnsi="Times New Roman"/>
        </w:rPr>
        <w:t>metabolic syndrome</w:t>
      </w:r>
      <w:r w:rsidR="002A5AE5">
        <w:rPr>
          <w:rFonts w:ascii="Times New Roman" w:hAnsi="Times New Roman"/>
        </w:rPr>
        <w:t xml:space="preserve"> (prediabetes + metabolic syndrome</w:t>
      </w:r>
      <w:r w:rsidR="007C08D1">
        <w:rPr>
          <w:rFonts w:ascii="Times New Roman" w:hAnsi="Times New Roman"/>
        </w:rPr>
        <w:t xml:space="preserve"> + at least one additional risk factor</w:t>
      </w:r>
      <w:r w:rsidR="002A5AE5">
        <w:rPr>
          <w:rFonts w:ascii="Times New Roman" w:hAnsi="Times New Roman"/>
        </w:rPr>
        <w:t>) will be far more productive than offering a dyslipidemia management service alone</w:t>
      </w:r>
      <w:r>
        <w:rPr>
          <w:rFonts w:ascii="Times New Roman" w:hAnsi="Times New Roman"/>
        </w:rPr>
        <w:t xml:space="preserve">.  </w:t>
      </w:r>
      <w:r w:rsidR="00AB1E9E">
        <w:rPr>
          <w:rFonts w:ascii="Times New Roman" w:hAnsi="Times New Roman"/>
        </w:rPr>
        <w:t>F</w:t>
      </w:r>
      <w:r>
        <w:rPr>
          <w:rFonts w:ascii="Times New Roman" w:hAnsi="Times New Roman"/>
        </w:rPr>
        <w:t xml:space="preserve">ew employer groups will be </w:t>
      </w:r>
      <w:r w:rsidR="008E061C">
        <w:rPr>
          <w:rFonts w:ascii="Times New Roman" w:hAnsi="Times New Roman"/>
        </w:rPr>
        <w:t>receptive</w:t>
      </w:r>
      <w:r>
        <w:rPr>
          <w:rFonts w:ascii="Times New Roman" w:hAnsi="Times New Roman"/>
        </w:rPr>
        <w:t xml:space="preserve"> to contracting for dyslipidemia services alone but may be more interested in a</w:t>
      </w:r>
      <w:r w:rsidR="00AB1E9E">
        <w:rPr>
          <w:rFonts w:ascii="Times New Roman" w:hAnsi="Times New Roman"/>
        </w:rPr>
        <w:t xml:space="preserve"> cost-efficient</w:t>
      </w:r>
      <w:r>
        <w:rPr>
          <w:rFonts w:ascii="Times New Roman" w:hAnsi="Times New Roman"/>
        </w:rPr>
        <w:t xml:space="preserve"> </w:t>
      </w:r>
      <w:r>
        <w:rPr>
          <w:rFonts w:ascii="Times New Roman" w:hAnsi="Times New Roman"/>
          <w:i/>
        </w:rPr>
        <w:t>multi-risk factor</w:t>
      </w:r>
      <w:r>
        <w:rPr>
          <w:rFonts w:ascii="Times New Roman" w:hAnsi="Times New Roman"/>
        </w:rPr>
        <w:t xml:space="preserve"> management model, e</w:t>
      </w:r>
      <w:r w:rsidR="008A6747">
        <w:rPr>
          <w:rFonts w:ascii="Times New Roman" w:hAnsi="Times New Roman"/>
        </w:rPr>
        <w:t>.</w:t>
      </w:r>
      <w:r>
        <w:rPr>
          <w:rFonts w:ascii="Times New Roman" w:hAnsi="Times New Roman"/>
        </w:rPr>
        <w:t>g.</w:t>
      </w:r>
      <w:r w:rsidR="008A6747">
        <w:rPr>
          <w:rFonts w:ascii="Times New Roman" w:hAnsi="Times New Roman"/>
        </w:rPr>
        <w:t>,</w:t>
      </w:r>
      <w:r>
        <w:rPr>
          <w:rFonts w:ascii="Times New Roman" w:hAnsi="Times New Roman"/>
        </w:rPr>
        <w:t xml:space="preserve"> high risk metabolic syndrome</w:t>
      </w:r>
      <w:r w:rsidR="009B77C6">
        <w:rPr>
          <w:rFonts w:ascii="Times New Roman" w:hAnsi="Times New Roman"/>
        </w:rPr>
        <w:t>/cardiometabolic risk</w:t>
      </w:r>
      <w:r w:rsidR="001D2148">
        <w:rPr>
          <w:rFonts w:ascii="Times New Roman" w:hAnsi="Times New Roman"/>
        </w:rPr>
        <w:t xml:space="preserve"> </w:t>
      </w:r>
      <w:r w:rsidR="009A0DA2">
        <w:rPr>
          <w:rFonts w:ascii="Times New Roman" w:hAnsi="Times New Roman"/>
        </w:rPr>
        <w:t xml:space="preserve">management </w:t>
      </w:r>
      <w:r w:rsidR="003866EE">
        <w:rPr>
          <w:rFonts w:ascii="Times New Roman" w:hAnsi="Times New Roman"/>
        </w:rPr>
        <w:t>program</w:t>
      </w:r>
      <w:r>
        <w:rPr>
          <w:rFonts w:ascii="Times New Roman" w:hAnsi="Times New Roman"/>
        </w:rPr>
        <w:t xml:space="preserve">. </w:t>
      </w:r>
      <w:r w:rsidR="00AB1E9E">
        <w:rPr>
          <w:rFonts w:ascii="Times New Roman" w:hAnsi="Times New Roman"/>
        </w:rPr>
        <w:t xml:space="preserve"> Price competitive </w:t>
      </w:r>
      <w:r w:rsidR="00973964">
        <w:rPr>
          <w:rFonts w:ascii="Times New Roman" w:hAnsi="Times New Roman"/>
        </w:rPr>
        <w:t>outcomes-based</w:t>
      </w:r>
      <w:r w:rsidR="00FA5F28">
        <w:rPr>
          <w:rFonts w:ascii="Times New Roman" w:hAnsi="Times New Roman"/>
        </w:rPr>
        <w:t xml:space="preserve"> </w:t>
      </w:r>
      <w:r w:rsidR="00FA5F28" w:rsidRPr="00FA5F28">
        <w:rPr>
          <w:rFonts w:ascii="Times New Roman" w:hAnsi="Times New Roman"/>
          <w:i/>
        </w:rPr>
        <w:t>cardiometabolic risk management programs</w:t>
      </w:r>
      <w:r w:rsidR="00FA5F28">
        <w:rPr>
          <w:rFonts w:ascii="Times New Roman" w:hAnsi="Times New Roman"/>
        </w:rPr>
        <w:t xml:space="preserve"> which emphasize </w:t>
      </w:r>
      <w:r w:rsidR="00AB1E9E">
        <w:rPr>
          <w:rFonts w:ascii="Times New Roman" w:hAnsi="Times New Roman"/>
        </w:rPr>
        <w:t>adiposity reduction</w:t>
      </w:r>
      <w:r w:rsidR="00FA5F28">
        <w:rPr>
          <w:rFonts w:ascii="Times New Roman" w:hAnsi="Times New Roman"/>
        </w:rPr>
        <w:t xml:space="preserve"> are new models of care and appear to be well positioned for employer groups</w:t>
      </w:r>
      <w:r w:rsidR="009E73AE">
        <w:rPr>
          <w:rFonts w:ascii="Times New Roman" w:hAnsi="Times New Roman"/>
        </w:rPr>
        <w:t>, medical homes, and health plans</w:t>
      </w:r>
      <w:r w:rsidR="00AB1E9E">
        <w:rPr>
          <w:rFonts w:ascii="Times New Roman" w:hAnsi="Times New Roman"/>
        </w:rPr>
        <w:t xml:space="preserve"> who have an abundance of at-risk members</w:t>
      </w:r>
      <w:r w:rsidR="00FA5F28">
        <w:rPr>
          <w:rFonts w:ascii="Times New Roman" w:hAnsi="Times New Roman"/>
        </w:rPr>
        <w:t>.</w:t>
      </w:r>
      <w:r>
        <w:rPr>
          <w:rFonts w:ascii="Times New Roman" w:hAnsi="Times New Roman"/>
        </w:rPr>
        <w:t xml:space="preserve">  </w:t>
      </w:r>
    </w:p>
    <w:p w:rsidR="00196921" w:rsidRDefault="00196921">
      <w:pPr>
        <w:tabs>
          <w:tab w:val="left" w:pos="6840"/>
        </w:tabs>
        <w:rPr>
          <w:rFonts w:ascii="Times New Roman" w:hAnsi="Times New Roman"/>
        </w:rPr>
      </w:pPr>
    </w:p>
    <w:p w:rsidR="00154701" w:rsidRDefault="00196921" w:rsidP="00D525CA">
      <w:pPr>
        <w:pStyle w:val="NormalWeb"/>
        <w:kinsoku w:val="0"/>
        <w:overflowPunct w:val="0"/>
        <w:spacing w:before="0" w:beforeAutospacing="0" w:after="0" w:afterAutospacing="0"/>
        <w:textAlignment w:val="baseline"/>
      </w:pPr>
      <w:r>
        <w:t>H</w:t>
      </w:r>
      <w:r w:rsidR="009A0DA2">
        <w:t xml:space="preserve">ospital or clinic employees, </w:t>
      </w:r>
      <w:r>
        <w:t>affiliated health plans,</w:t>
      </w:r>
      <w:r w:rsidR="00154701">
        <w:t xml:space="preserve"> </w:t>
      </w:r>
      <w:r w:rsidR="00A07566">
        <w:t xml:space="preserve">accountable care organizations, </w:t>
      </w:r>
      <w:r w:rsidR="00154701">
        <w:t>law-enforcement</w:t>
      </w:r>
      <w:r w:rsidR="009A0DA2">
        <w:t xml:space="preserve"> personnel</w:t>
      </w:r>
      <w:r w:rsidR="00154701">
        <w:t>, and public service employee groups are generally good targets for contracting</w:t>
      </w:r>
      <w:r w:rsidR="005F6AAD">
        <w:t xml:space="preserve"> these </w:t>
      </w:r>
      <w:r w:rsidR="009A0DA2">
        <w:t>diabetes and CVD prevention services</w:t>
      </w:r>
      <w:r w:rsidR="00154701">
        <w:t xml:space="preserve">. </w:t>
      </w:r>
      <w:r w:rsidR="005654BC">
        <w:t xml:space="preserve"> </w:t>
      </w:r>
      <w:r w:rsidR="00154701">
        <w:t xml:space="preserve">Contracting </w:t>
      </w:r>
      <w:r w:rsidR="009A0DA2">
        <w:t xml:space="preserve">with at-risk employer groups </w:t>
      </w:r>
      <w:r w:rsidR="00154701">
        <w:t>will require that patient clinical information is kept on a secure patient database for periodic group outcome trend-reporting which will be required by the employer group risk or benefits manager. Note that this reporting process does not in any</w:t>
      </w:r>
      <w:r w:rsidR="008A6747">
        <w:t xml:space="preserve"> </w:t>
      </w:r>
      <w:r w:rsidR="00154701">
        <w:t xml:space="preserve">way identify individual patients – just </w:t>
      </w:r>
      <w:r w:rsidR="00154701">
        <w:rPr>
          <w:i/>
        </w:rPr>
        <w:t>group</w:t>
      </w:r>
      <w:r>
        <w:t xml:space="preserve"> laboratory</w:t>
      </w:r>
      <w:r w:rsidR="00154701">
        <w:t>, anthropometric, therapeutic, and compliance trends.</w:t>
      </w:r>
      <w:r w:rsidR="00621BB5">
        <w:t xml:space="preserve">  Finally, and perhaps most importantly, the best method of justifying CMR programs is estimating the cost savings of delaying or preventing metabolic disease, e.g., type 2 diabetes.  </w:t>
      </w:r>
      <w:r w:rsidR="005F4CCC">
        <w:t>There is a r</w:t>
      </w:r>
      <w:r w:rsidR="005B1C55">
        <w:t xml:space="preserve">ich source of diabetes cost </w:t>
      </w:r>
      <w:r w:rsidR="0007485B">
        <w:t xml:space="preserve">justification </w:t>
      </w:r>
      <w:r w:rsidR="005B1C55">
        <w:t>information</w:t>
      </w:r>
      <w:r w:rsidR="0007485B">
        <w:t xml:space="preserve"> from numerous</w:t>
      </w:r>
      <w:r w:rsidR="00D525CA">
        <w:t xml:space="preserve"> sources. For example, a November 2010 ADA report disclosed that t</w:t>
      </w:r>
      <w:r w:rsidR="00D525CA" w:rsidRPr="00D525CA">
        <w:rPr>
          <w:rFonts w:eastAsiaTheme="minorEastAsia" w:cstheme="minorBidi"/>
          <w:color w:val="000000" w:themeColor="text1"/>
          <w:kern w:val="24"/>
        </w:rPr>
        <w:t>he average annual health care costs in 2009 for a person with known diabetes were about $11,700 compared with about $4,400 for non-diabetics, according to new data in the report drawn from 10 million UnitedHealthcare members</w:t>
      </w:r>
      <w:r w:rsidR="00D525CA">
        <w:rPr>
          <w:rFonts w:eastAsiaTheme="minorEastAsia" w:cstheme="minorBidi"/>
          <w:color w:val="000000" w:themeColor="text1"/>
          <w:kern w:val="24"/>
        </w:rPr>
        <w:t xml:space="preserve"> (a </w:t>
      </w:r>
      <w:r w:rsidR="00D525CA" w:rsidRPr="00D525CA">
        <w:rPr>
          <w:rFonts w:eastAsiaTheme="minorEastAsia" w:cstheme="minorBidi"/>
          <w:bCs/>
          <w:color w:val="000000" w:themeColor="text1"/>
          <w:kern w:val="24"/>
        </w:rPr>
        <w:t>$7,300 difference</w:t>
      </w:r>
      <w:r w:rsidR="00D525CA" w:rsidRPr="0056286D">
        <w:rPr>
          <w:rFonts w:eastAsiaTheme="minorEastAsia"/>
          <w:bCs/>
          <w:color w:val="000000" w:themeColor="text1"/>
          <w:kern w:val="24"/>
        </w:rPr>
        <w:t>).</w:t>
      </w:r>
      <w:r w:rsidR="0056286D" w:rsidRPr="0056286D">
        <w:rPr>
          <w:color w:val="000000" w:themeColor="text1"/>
        </w:rPr>
        <w:t xml:space="preserve"> </w:t>
      </w:r>
      <w:r w:rsidR="0056286D">
        <w:rPr>
          <w:color w:val="000000" w:themeColor="text1"/>
        </w:rPr>
        <w:t xml:space="preserve"> In 2011 the ADA estimated that p</w:t>
      </w:r>
      <w:r w:rsidR="0056286D" w:rsidRPr="0056286D">
        <w:rPr>
          <w:color w:val="000000" w:themeColor="text1"/>
        </w:rPr>
        <w:t>eople with diagnosed diabetes, on average, have medical expenditures that are approximately 2.3 times higher than the expenditures would be in the absence of diabetes</w:t>
      </w:r>
      <w:r w:rsidR="0056286D">
        <w:rPr>
          <w:color w:val="000000" w:themeColor="text1"/>
        </w:rPr>
        <w:t>.</w:t>
      </w:r>
      <w:r w:rsidR="00D525CA" w:rsidRPr="0056286D">
        <w:rPr>
          <w:rFonts w:eastAsiaTheme="minorEastAsia" w:cstheme="minorBidi"/>
          <w:bCs/>
          <w:color w:val="000000" w:themeColor="text1"/>
          <w:kern w:val="24"/>
        </w:rPr>
        <w:t xml:space="preserve">  </w:t>
      </w:r>
      <w:r w:rsidR="00542DF6">
        <w:rPr>
          <w:rFonts w:eastAsiaTheme="minorEastAsia" w:cstheme="minorBidi"/>
          <w:bCs/>
          <w:color w:val="000000" w:themeColor="text1"/>
          <w:kern w:val="24"/>
        </w:rPr>
        <w:t>Clearly, b</w:t>
      </w:r>
      <w:r w:rsidR="00621BB5">
        <w:t xml:space="preserve">ecoming familiar with publications and claims-data projecting diabetes costs will </w:t>
      </w:r>
      <w:r w:rsidR="00D525CA">
        <w:t>be helpful.</w:t>
      </w:r>
    </w:p>
    <w:p w:rsidR="0094741A" w:rsidRDefault="0094741A">
      <w:pPr>
        <w:tabs>
          <w:tab w:val="left" w:pos="6840"/>
        </w:tabs>
        <w:rPr>
          <w:rFonts w:ascii="Times New Roman" w:hAnsi="Times New Roman"/>
        </w:rPr>
      </w:pPr>
    </w:p>
    <w:p w:rsidR="0094741A" w:rsidRPr="00EA7B6A" w:rsidRDefault="0094741A">
      <w:pPr>
        <w:tabs>
          <w:tab w:val="left" w:pos="6840"/>
        </w:tabs>
        <w:rPr>
          <w:rFonts w:ascii="Times New Roman" w:hAnsi="Times New Roman"/>
          <w:b/>
        </w:rPr>
      </w:pPr>
      <w:r w:rsidRPr="00EA7B6A">
        <w:rPr>
          <w:rFonts w:ascii="Times New Roman" w:hAnsi="Times New Roman"/>
          <w:b/>
        </w:rPr>
        <w:t>Overview of the Metabolic Syndrome</w:t>
      </w:r>
      <w:r w:rsidR="006943C4">
        <w:rPr>
          <w:rFonts w:ascii="Times New Roman" w:hAnsi="Times New Roman"/>
          <w:b/>
        </w:rPr>
        <w:t>/Cardiometabolic Risk</w:t>
      </w:r>
      <w:r w:rsidRPr="00EA7B6A">
        <w:rPr>
          <w:rFonts w:ascii="Times New Roman" w:hAnsi="Times New Roman"/>
          <w:b/>
        </w:rPr>
        <w:t xml:space="preserve"> Clinic Model</w:t>
      </w:r>
      <w:r w:rsidR="00673C5D">
        <w:rPr>
          <w:rFonts w:ascii="Times New Roman" w:hAnsi="Times New Roman"/>
          <w:b/>
        </w:rPr>
        <w:t xml:space="preserve"> (CMR program)</w:t>
      </w:r>
    </w:p>
    <w:p w:rsidR="00154701" w:rsidRDefault="00154701">
      <w:pPr>
        <w:rPr>
          <w:rFonts w:ascii="Times New Roman" w:hAnsi="Times New Roman"/>
        </w:rPr>
      </w:pPr>
    </w:p>
    <w:p w:rsidR="0094741A" w:rsidRPr="00EA7B6A" w:rsidRDefault="0094741A" w:rsidP="0094741A">
      <w:pPr>
        <w:pStyle w:val="BodyText"/>
        <w:rPr>
          <w:rFonts w:ascii="Times New Roman" w:hAnsi="Times New Roman"/>
          <w:b w:val="0"/>
          <w:sz w:val="24"/>
          <w:szCs w:val="24"/>
        </w:rPr>
      </w:pPr>
      <w:r w:rsidRPr="00EA7B6A">
        <w:rPr>
          <w:rFonts w:ascii="Times New Roman" w:hAnsi="Times New Roman"/>
          <w:b w:val="0"/>
          <w:sz w:val="24"/>
          <w:szCs w:val="24"/>
        </w:rPr>
        <w:t>For existing</w:t>
      </w:r>
      <w:r w:rsidR="00624C21" w:rsidRPr="00EA7B6A">
        <w:rPr>
          <w:rFonts w:ascii="Times New Roman" w:hAnsi="Times New Roman"/>
          <w:b w:val="0"/>
          <w:sz w:val="24"/>
          <w:szCs w:val="24"/>
        </w:rPr>
        <w:t xml:space="preserve"> cardiovascular risk reduction and</w:t>
      </w:r>
      <w:r w:rsidRPr="00EA7B6A">
        <w:rPr>
          <w:rFonts w:ascii="Times New Roman" w:hAnsi="Times New Roman"/>
          <w:b w:val="0"/>
          <w:sz w:val="24"/>
          <w:szCs w:val="24"/>
        </w:rPr>
        <w:t xml:space="preserve"> lipid clinic programs, especially those in multispecialty medical group settings where family practice is well represented</w:t>
      </w:r>
      <w:r w:rsidR="002A5CE8">
        <w:rPr>
          <w:rFonts w:ascii="Times New Roman" w:hAnsi="Times New Roman"/>
          <w:b w:val="0"/>
          <w:sz w:val="24"/>
          <w:szCs w:val="24"/>
        </w:rPr>
        <w:t>,</w:t>
      </w:r>
      <w:r w:rsidRPr="00EA7B6A">
        <w:rPr>
          <w:rFonts w:ascii="Times New Roman" w:hAnsi="Times New Roman"/>
          <w:b w:val="0"/>
          <w:sz w:val="24"/>
          <w:szCs w:val="24"/>
        </w:rPr>
        <w:t xml:space="preserve"> this program represents an opportunity to reorganize and combine therapeutic protocols and staff resources.  Such program integration will provide additional opportunities to partner with employee benefits </w:t>
      </w:r>
      <w:r w:rsidRPr="00EA7B6A">
        <w:rPr>
          <w:rFonts w:ascii="Times New Roman" w:hAnsi="Times New Roman"/>
          <w:b w:val="0"/>
          <w:sz w:val="24"/>
          <w:szCs w:val="24"/>
        </w:rPr>
        <w:lastRenderedPageBreak/>
        <w:t xml:space="preserve">managers and health plans who have members at high metabolic and CVD risk, and the community at large.   </w:t>
      </w:r>
    </w:p>
    <w:p w:rsidR="0094741A" w:rsidRPr="00EA7B6A" w:rsidRDefault="0094741A" w:rsidP="0094741A">
      <w:pPr>
        <w:pStyle w:val="BodyText"/>
        <w:rPr>
          <w:rFonts w:ascii="Times New Roman" w:hAnsi="Times New Roman"/>
          <w:b w:val="0"/>
          <w:sz w:val="24"/>
          <w:szCs w:val="24"/>
        </w:rPr>
      </w:pPr>
    </w:p>
    <w:p w:rsidR="00624C21" w:rsidRDefault="0094741A" w:rsidP="0094741A">
      <w:pPr>
        <w:pStyle w:val="BodyText"/>
        <w:rPr>
          <w:rFonts w:ascii="Times New Roman" w:hAnsi="Times New Roman"/>
          <w:b w:val="0"/>
          <w:color w:val="000000"/>
          <w:sz w:val="24"/>
          <w:szCs w:val="24"/>
        </w:rPr>
      </w:pPr>
      <w:r w:rsidRPr="00EA7B6A">
        <w:rPr>
          <w:rFonts w:ascii="Times New Roman" w:hAnsi="Times New Roman"/>
          <w:b w:val="0"/>
          <w:color w:val="000000"/>
          <w:sz w:val="24"/>
          <w:szCs w:val="24"/>
        </w:rPr>
        <w:t>Predetermined clinical pathways, i.e.</w:t>
      </w:r>
      <w:r w:rsidR="00573A39">
        <w:rPr>
          <w:rFonts w:ascii="Times New Roman" w:hAnsi="Times New Roman"/>
          <w:b w:val="0"/>
          <w:color w:val="000000"/>
          <w:sz w:val="24"/>
          <w:szCs w:val="24"/>
        </w:rPr>
        <w:t>,</w:t>
      </w:r>
      <w:r w:rsidRPr="00EA7B6A">
        <w:rPr>
          <w:rFonts w:ascii="Times New Roman" w:hAnsi="Times New Roman"/>
          <w:b w:val="0"/>
          <w:color w:val="000000"/>
          <w:sz w:val="24"/>
          <w:szCs w:val="24"/>
        </w:rPr>
        <w:t xml:space="preserve"> a defined treatment p</w:t>
      </w:r>
      <w:r w:rsidR="007F60CE">
        <w:rPr>
          <w:rFonts w:ascii="Times New Roman" w:hAnsi="Times New Roman"/>
          <w:b w:val="0"/>
          <w:color w:val="000000"/>
          <w:sz w:val="24"/>
          <w:szCs w:val="24"/>
        </w:rPr>
        <w:t>athway</w:t>
      </w:r>
      <w:r w:rsidRPr="00EA7B6A">
        <w:rPr>
          <w:rFonts w:ascii="Times New Roman" w:hAnsi="Times New Roman"/>
          <w:b w:val="0"/>
          <w:color w:val="000000"/>
          <w:sz w:val="24"/>
          <w:szCs w:val="24"/>
        </w:rPr>
        <w:t xml:space="preserve"> (see </w:t>
      </w:r>
      <w:r w:rsidRPr="009E77F7">
        <w:rPr>
          <w:rFonts w:ascii="Times New Roman" w:hAnsi="Times New Roman"/>
          <w:b w:val="0"/>
          <w:i/>
          <w:color w:val="000000"/>
          <w:sz w:val="24"/>
          <w:szCs w:val="24"/>
        </w:rPr>
        <w:t>20</w:t>
      </w:r>
      <w:r w:rsidR="00A2499F">
        <w:rPr>
          <w:rFonts w:ascii="Times New Roman" w:hAnsi="Times New Roman"/>
          <w:b w:val="0"/>
          <w:i/>
          <w:color w:val="000000"/>
          <w:sz w:val="24"/>
          <w:szCs w:val="24"/>
        </w:rPr>
        <w:t>1</w:t>
      </w:r>
      <w:r w:rsidR="00F51B66">
        <w:rPr>
          <w:rFonts w:ascii="Times New Roman" w:hAnsi="Times New Roman"/>
          <w:b w:val="0"/>
          <w:i/>
          <w:color w:val="000000"/>
          <w:sz w:val="24"/>
          <w:szCs w:val="24"/>
        </w:rPr>
        <w:t>4</w:t>
      </w:r>
      <w:r w:rsidRPr="009E77F7">
        <w:rPr>
          <w:rFonts w:ascii="Times New Roman" w:hAnsi="Times New Roman"/>
          <w:b w:val="0"/>
          <w:i/>
          <w:color w:val="000000"/>
          <w:sz w:val="24"/>
          <w:szCs w:val="24"/>
        </w:rPr>
        <w:t xml:space="preserve"> </w:t>
      </w:r>
      <w:r w:rsidR="007F60CE">
        <w:rPr>
          <w:rFonts w:ascii="Times New Roman" w:hAnsi="Times New Roman"/>
          <w:b w:val="0"/>
          <w:i/>
          <w:color w:val="000000"/>
          <w:sz w:val="24"/>
          <w:szCs w:val="24"/>
        </w:rPr>
        <w:t xml:space="preserve">Metabolic Syndrome </w:t>
      </w:r>
      <w:r w:rsidRPr="009E77F7">
        <w:rPr>
          <w:rFonts w:ascii="Times New Roman" w:hAnsi="Times New Roman"/>
          <w:b w:val="0"/>
          <w:i/>
          <w:color w:val="000000"/>
          <w:sz w:val="24"/>
          <w:szCs w:val="24"/>
        </w:rPr>
        <w:t xml:space="preserve">Patient Treatment </w:t>
      </w:r>
      <w:r w:rsidR="009B0B7C">
        <w:rPr>
          <w:rFonts w:ascii="Times New Roman" w:hAnsi="Times New Roman"/>
          <w:b w:val="0"/>
          <w:i/>
          <w:color w:val="000000"/>
          <w:sz w:val="24"/>
          <w:szCs w:val="24"/>
        </w:rPr>
        <w:t>Visit</w:t>
      </w:r>
      <w:r w:rsidRPr="009E77F7">
        <w:rPr>
          <w:rFonts w:ascii="Times New Roman" w:hAnsi="Times New Roman"/>
          <w:b w:val="0"/>
          <w:i/>
          <w:color w:val="000000"/>
          <w:sz w:val="24"/>
          <w:szCs w:val="24"/>
        </w:rPr>
        <w:t>/Protocol</w:t>
      </w:r>
      <w:r w:rsidR="009B0B7C">
        <w:rPr>
          <w:rFonts w:ascii="Times New Roman" w:hAnsi="Times New Roman"/>
          <w:b w:val="0"/>
          <w:i/>
          <w:color w:val="000000"/>
          <w:sz w:val="24"/>
          <w:szCs w:val="24"/>
        </w:rPr>
        <w:t xml:space="preserve"> Summary</w:t>
      </w:r>
      <w:r w:rsidRPr="009E77F7">
        <w:rPr>
          <w:rFonts w:ascii="Times New Roman" w:hAnsi="Times New Roman"/>
          <w:b w:val="0"/>
          <w:i/>
          <w:color w:val="000000"/>
          <w:sz w:val="24"/>
          <w:szCs w:val="24"/>
        </w:rPr>
        <w:t xml:space="preserve"> – </w:t>
      </w:r>
      <w:r w:rsidR="00537C26">
        <w:rPr>
          <w:rFonts w:ascii="Times New Roman" w:hAnsi="Times New Roman"/>
          <w:b w:val="0"/>
          <w:i/>
          <w:color w:val="000000"/>
          <w:sz w:val="24"/>
          <w:szCs w:val="24"/>
        </w:rPr>
        <w:t xml:space="preserve"> R. La Forge</w:t>
      </w:r>
      <w:r w:rsidR="007E4D64">
        <w:rPr>
          <w:rFonts w:ascii="Times New Roman" w:hAnsi="Times New Roman"/>
          <w:b w:val="0"/>
          <w:i/>
          <w:color w:val="000000"/>
          <w:sz w:val="24"/>
          <w:szCs w:val="24"/>
        </w:rPr>
        <w:t xml:space="preserve"> – </w:t>
      </w:r>
      <w:r w:rsidR="007E4D64" w:rsidRPr="007E4D64">
        <w:rPr>
          <w:rFonts w:ascii="Times New Roman" w:hAnsi="Times New Roman"/>
          <w:b w:val="0"/>
          <w:color w:val="000000"/>
          <w:sz w:val="24"/>
          <w:szCs w:val="24"/>
        </w:rPr>
        <w:t>CMRP staff in-service program</w:t>
      </w:r>
      <w:r w:rsidRPr="00EA7B6A">
        <w:rPr>
          <w:rFonts w:ascii="Times New Roman" w:hAnsi="Times New Roman"/>
          <w:b w:val="0"/>
          <w:color w:val="000000"/>
          <w:sz w:val="24"/>
          <w:szCs w:val="24"/>
        </w:rPr>
        <w:t xml:space="preserve">), </w:t>
      </w:r>
      <w:r w:rsidR="009E77F7">
        <w:rPr>
          <w:rFonts w:ascii="Times New Roman" w:hAnsi="Times New Roman"/>
          <w:b w:val="0"/>
          <w:color w:val="000000"/>
          <w:sz w:val="24"/>
          <w:szCs w:val="24"/>
        </w:rPr>
        <w:t xml:space="preserve">can be adapted and implemented </w:t>
      </w:r>
      <w:r w:rsidRPr="00EA7B6A">
        <w:rPr>
          <w:rFonts w:ascii="Times New Roman" w:hAnsi="Times New Roman"/>
          <w:b w:val="0"/>
          <w:color w:val="000000"/>
          <w:sz w:val="24"/>
          <w:szCs w:val="24"/>
        </w:rPr>
        <w:t xml:space="preserve">for </w:t>
      </w:r>
      <w:r w:rsidR="009E77F7">
        <w:rPr>
          <w:rFonts w:ascii="Times New Roman" w:hAnsi="Times New Roman"/>
          <w:b w:val="0"/>
          <w:color w:val="000000"/>
          <w:sz w:val="24"/>
          <w:szCs w:val="24"/>
        </w:rPr>
        <w:t xml:space="preserve">the systematic </w:t>
      </w:r>
      <w:r w:rsidRPr="00EA7B6A">
        <w:rPr>
          <w:rFonts w:ascii="Times New Roman" w:hAnsi="Times New Roman"/>
          <w:b w:val="0"/>
          <w:color w:val="000000"/>
          <w:sz w:val="24"/>
          <w:szCs w:val="24"/>
        </w:rPr>
        <w:t>management of the</w:t>
      </w:r>
      <w:r w:rsidR="009B0B7C">
        <w:rPr>
          <w:rFonts w:ascii="Times New Roman" w:hAnsi="Times New Roman"/>
          <w:b w:val="0"/>
          <w:color w:val="000000"/>
          <w:sz w:val="24"/>
          <w:szCs w:val="24"/>
        </w:rPr>
        <w:t xml:space="preserve"> features of the metabolic syndrome </w:t>
      </w:r>
      <w:r w:rsidRPr="00EA7B6A">
        <w:rPr>
          <w:rFonts w:ascii="Times New Roman" w:hAnsi="Times New Roman"/>
          <w:b w:val="0"/>
          <w:color w:val="000000"/>
          <w:sz w:val="24"/>
          <w:szCs w:val="24"/>
        </w:rPr>
        <w:t xml:space="preserve"> dyslip</w:t>
      </w:r>
      <w:r w:rsidR="009B0B7C">
        <w:rPr>
          <w:rFonts w:ascii="Times New Roman" w:hAnsi="Times New Roman"/>
          <w:b w:val="0"/>
          <w:color w:val="000000"/>
          <w:sz w:val="24"/>
          <w:szCs w:val="24"/>
        </w:rPr>
        <w:t>idemia</w:t>
      </w:r>
      <w:r w:rsidRPr="00EA7B6A">
        <w:rPr>
          <w:rFonts w:ascii="Times New Roman" w:hAnsi="Times New Roman"/>
          <w:b w:val="0"/>
          <w:color w:val="000000"/>
          <w:sz w:val="24"/>
          <w:szCs w:val="24"/>
        </w:rPr>
        <w:t>, obesity, hypertension, and/or impaired fasting glucose</w:t>
      </w:r>
      <w:r w:rsidR="009B0B7C">
        <w:rPr>
          <w:rFonts w:ascii="Times New Roman" w:hAnsi="Times New Roman"/>
          <w:b w:val="0"/>
          <w:color w:val="000000"/>
          <w:sz w:val="24"/>
          <w:szCs w:val="24"/>
        </w:rPr>
        <w:t xml:space="preserve"> (primary prevention model)</w:t>
      </w:r>
      <w:r w:rsidRPr="00EA7B6A">
        <w:rPr>
          <w:rFonts w:ascii="Times New Roman" w:hAnsi="Times New Roman"/>
          <w:b w:val="0"/>
          <w:color w:val="000000"/>
          <w:sz w:val="24"/>
          <w:szCs w:val="24"/>
        </w:rPr>
        <w:t xml:space="preserve">.    Dietary and exercise instruction as per the current guidelines as set forth by the </w:t>
      </w:r>
      <w:r w:rsidR="000E49AA">
        <w:rPr>
          <w:rFonts w:ascii="Times New Roman" w:hAnsi="Times New Roman"/>
          <w:b w:val="0"/>
          <w:color w:val="000000"/>
          <w:sz w:val="24"/>
          <w:szCs w:val="24"/>
        </w:rPr>
        <w:t xml:space="preserve">2014 NLA, </w:t>
      </w:r>
      <w:r w:rsidRPr="00EA7B6A">
        <w:rPr>
          <w:rFonts w:ascii="Times New Roman" w:hAnsi="Times New Roman"/>
          <w:b w:val="0"/>
          <w:color w:val="000000"/>
          <w:sz w:val="24"/>
          <w:szCs w:val="24"/>
        </w:rPr>
        <w:t xml:space="preserve">NCEP ATP III and the </w:t>
      </w:r>
      <w:r w:rsidR="00F51B66">
        <w:rPr>
          <w:rFonts w:ascii="Times New Roman" w:hAnsi="Times New Roman"/>
          <w:b w:val="0"/>
          <w:color w:val="000000"/>
          <w:sz w:val="24"/>
          <w:szCs w:val="24"/>
        </w:rPr>
        <w:t>2014</w:t>
      </w:r>
      <w:r w:rsidR="00B413F9">
        <w:rPr>
          <w:rFonts w:ascii="Times New Roman" w:hAnsi="Times New Roman"/>
          <w:b w:val="0"/>
          <w:color w:val="000000"/>
          <w:sz w:val="24"/>
          <w:szCs w:val="24"/>
        </w:rPr>
        <w:t xml:space="preserve"> </w:t>
      </w:r>
      <w:r w:rsidR="00ED45E0">
        <w:rPr>
          <w:rFonts w:ascii="Times New Roman" w:hAnsi="Times New Roman"/>
          <w:b w:val="0"/>
          <w:color w:val="000000"/>
          <w:sz w:val="24"/>
          <w:szCs w:val="24"/>
        </w:rPr>
        <w:t xml:space="preserve">Ninth Edition - </w:t>
      </w:r>
      <w:r w:rsidRPr="00EA7B6A">
        <w:rPr>
          <w:rFonts w:ascii="Times New Roman" w:hAnsi="Times New Roman"/>
          <w:b w:val="0"/>
          <w:color w:val="000000"/>
          <w:sz w:val="24"/>
          <w:szCs w:val="24"/>
        </w:rPr>
        <w:t>American College of Sports Medicine</w:t>
      </w:r>
      <w:r w:rsidR="009E77F7">
        <w:rPr>
          <w:rFonts w:ascii="Times New Roman" w:hAnsi="Times New Roman"/>
          <w:b w:val="0"/>
          <w:color w:val="000000"/>
          <w:sz w:val="24"/>
          <w:szCs w:val="24"/>
        </w:rPr>
        <w:t xml:space="preserve"> Guidelines on Exercise</w:t>
      </w:r>
      <w:r w:rsidR="00ED45E0">
        <w:rPr>
          <w:rFonts w:ascii="Times New Roman" w:hAnsi="Times New Roman"/>
          <w:b w:val="0"/>
          <w:color w:val="000000"/>
          <w:sz w:val="24"/>
          <w:szCs w:val="24"/>
        </w:rPr>
        <w:t xml:space="preserve"> Testing and</w:t>
      </w:r>
      <w:r w:rsidR="009E77F7">
        <w:rPr>
          <w:rFonts w:ascii="Times New Roman" w:hAnsi="Times New Roman"/>
          <w:b w:val="0"/>
          <w:color w:val="000000"/>
          <w:sz w:val="24"/>
          <w:szCs w:val="24"/>
        </w:rPr>
        <w:t xml:space="preserve"> Prescription</w:t>
      </w:r>
      <w:r w:rsidRPr="00EA7B6A">
        <w:rPr>
          <w:rFonts w:ascii="Times New Roman" w:hAnsi="Times New Roman"/>
          <w:b w:val="0"/>
          <w:color w:val="000000"/>
          <w:sz w:val="24"/>
          <w:szCs w:val="24"/>
        </w:rPr>
        <w:t xml:space="preserve"> will be </w:t>
      </w:r>
      <w:r w:rsidR="00B413F9">
        <w:rPr>
          <w:rFonts w:ascii="Times New Roman" w:hAnsi="Times New Roman"/>
          <w:b w:val="0"/>
          <w:color w:val="000000"/>
          <w:sz w:val="24"/>
          <w:szCs w:val="24"/>
        </w:rPr>
        <w:t>helpful</w:t>
      </w:r>
      <w:r w:rsidRPr="00EA7B6A">
        <w:rPr>
          <w:rFonts w:ascii="Times New Roman" w:hAnsi="Times New Roman"/>
          <w:b w:val="0"/>
          <w:color w:val="000000"/>
          <w:sz w:val="24"/>
          <w:szCs w:val="24"/>
        </w:rPr>
        <w:t xml:space="preserve">.  </w:t>
      </w:r>
    </w:p>
    <w:p w:rsidR="00C674D0" w:rsidRDefault="00C674D0" w:rsidP="0094741A">
      <w:pPr>
        <w:pStyle w:val="BodyText"/>
        <w:rPr>
          <w:color w:val="000000"/>
        </w:rPr>
      </w:pPr>
    </w:p>
    <w:p w:rsidR="00624C21" w:rsidRPr="007E4D64" w:rsidRDefault="00820C6A" w:rsidP="00820C6A">
      <w:pPr>
        <w:pStyle w:val="BodyText"/>
        <w:rPr>
          <w:rFonts w:ascii="Times New Roman" w:hAnsi="Times New Roman"/>
          <w:b w:val="0"/>
          <w:sz w:val="24"/>
          <w:szCs w:val="24"/>
        </w:rPr>
      </w:pPr>
      <w:r w:rsidRPr="003C7964">
        <w:rPr>
          <w:rFonts w:ascii="Times New Roman" w:hAnsi="Times New Roman"/>
          <w:b w:val="0"/>
          <w:sz w:val="24"/>
          <w:szCs w:val="24"/>
        </w:rPr>
        <w:t xml:space="preserve">Establishing a </w:t>
      </w:r>
      <w:r w:rsidRPr="00094C6F">
        <w:rPr>
          <w:rFonts w:ascii="Times New Roman" w:hAnsi="Times New Roman"/>
          <w:sz w:val="24"/>
          <w:szCs w:val="24"/>
        </w:rPr>
        <w:t xml:space="preserve">standard </w:t>
      </w:r>
      <w:r w:rsidR="00DF283E">
        <w:rPr>
          <w:rFonts w:ascii="Times New Roman" w:hAnsi="Times New Roman"/>
          <w:sz w:val="24"/>
          <w:szCs w:val="24"/>
        </w:rPr>
        <w:t>cardio</w:t>
      </w:r>
      <w:r w:rsidRPr="00094C6F">
        <w:rPr>
          <w:rFonts w:ascii="Times New Roman" w:hAnsi="Times New Roman"/>
          <w:sz w:val="24"/>
          <w:szCs w:val="24"/>
        </w:rPr>
        <w:t>metabolic laboratory panel</w:t>
      </w:r>
      <w:r w:rsidRPr="003C7964">
        <w:rPr>
          <w:rFonts w:ascii="Times New Roman" w:hAnsi="Times New Roman"/>
          <w:b w:val="0"/>
          <w:sz w:val="24"/>
          <w:szCs w:val="24"/>
        </w:rPr>
        <w:t xml:space="preserve"> will be helpful in making objective assessments and serial changes in cardiometabolic risk.  Such a panel should be a stand-alone labora</w:t>
      </w:r>
      <w:r w:rsidR="003C7964">
        <w:rPr>
          <w:rFonts w:ascii="Times New Roman" w:hAnsi="Times New Roman"/>
          <w:b w:val="0"/>
          <w:sz w:val="24"/>
          <w:szCs w:val="24"/>
        </w:rPr>
        <w:t>to</w:t>
      </w:r>
      <w:r w:rsidRPr="003C7964">
        <w:rPr>
          <w:rFonts w:ascii="Times New Roman" w:hAnsi="Times New Roman"/>
          <w:b w:val="0"/>
          <w:sz w:val="24"/>
          <w:szCs w:val="24"/>
        </w:rPr>
        <w:t xml:space="preserve">ry panel that includes:  </w:t>
      </w:r>
      <w:r w:rsidRPr="001E7DCB">
        <w:rPr>
          <w:rFonts w:ascii="Times New Roman" w:hAnsi="Times New Roman"/>
          <w:b w:val="0"/>
          <w:i/>
          <w:sz w:val="24"/>
          <w:szCs w:val="24"/>
        </w:rPr>
        <w:t>fasting glucose,</w:t>
      </w:r>
      <w:r w:rsidR="00B51610">
        <w:rPr>
          <w:rFonts w:ascii="Times New Roman" w:hAnsi="Times New Roman"/>
          <w:b w:val="0"/>
          <w:i/>
          <w:sz w:val="24"/>
          <w:szCs w:val="24"/>
        </w:rPr>
        <w:t xml:space="preserve"> A1C, </w:t>
      </w:r>
      <w:r w:rsidRPr="001E7DCB">
        <w:rPr>
          <w:rFonts w:ascii="Times New Roman" w:hAnsi="Times New Roman"/>
          <w:b w:val="0"/>
          <w:i/>
          <w:sz w:val="24"/>
          <w:szCs w:val="24"/>
        </w:rPr>
        <w:t xml:space="preserve"> HDL-C, triglycerides, nonHDL</w:t>
      </w:r>
      <w:r w:rsidR="005B1C55">
        <w:rPr>
          <w:rFonts w:ascii="Times New Roman" w:hAnsi="Times New Roman"/>
          <w:b w:val="0"/>
          <w:i/>
          <w:sz w:val="24"/>
          <w:szCs w:val="24"/>
        </w:rPr>
        <w:t>-C, and LDL-C, blood pressure, waist circumference and optional baseline subscapular</w:t>
      </w:r>
      <w:r w:rsidR="005A07DB">
        <w:rPr>
          <w:rFonts w:ascii="Times New Roman" w:hAnsi="Times New Roman"/>
          <w:b w:val="0"/>
          <w:i/>
          <w:sz w:val="24"/>
          <w:szCs w:val="24"/>
        </w:rPr>
        <w:t xml:space="preserve"> and/or tricep</w:t>
      </w:r>
      <w:r w:rsidR="005B1C55">
        <w:rPr>
          <w:rFonts w:ascii="Times New Roman" w:hAnsi="Times New Roman"/>
          <w:b w:val="0"/>
          <w:i/>
          <w:sz w:val="24"/>
          <w:szCs w:val="24"/>
        </w:rPr>
        <w:t xml:space="preserve"> skinfold measure</w:t>
      </w:r>
      <w:r w:rsidRPr="001E7DCB">
        <w:rPr>
          <w:rFonts w:ascii="Times New Roman" w:hAnsi="Times New Roman"/>
          <w:b w:val="0"/>
          <w:i/>
          <w:sz w:val="24"/>
          <w:szCs w:val="24"/>
        </w:rPr>
        <w:t xml:space="preserve">.  </w:t>
      </w:r>
      <w:r w:rsidRPr="003C7964">
        <w:rPr>
          <w:rFonts w:ascii="Times New Roman" w:hAnsi="Times New Roman"/>
          <w:b w:val="0"/>
          <w:sz w:val="24"/>
          <w:szCs w:val="24"/>
        </w:rPr>
        <w:t>This panel should be accompanied by a waist circumference measure</w:t>
      </w:r>
      <w:r w:rsidR="003C7964" w:rsidRPr="003C7964">
        <w:rPr>
          <w:rFonts w:ascii="Times New Roman" w:hAnsi="Times New Roman"/>
          <w:b w:val="0"/>
          <w:sz w:val="24"/>
          <w:szCs w:val="24"/>
        </w:rPr>
        <w:t xml:space="preserve"> and blood pressure assessment.</w:t>
      </w:r>
      <w:r w:rsidR="00E544E7">
        <w:rPr>
          <w:rFonts w:ascii="Times New Roman" w:hAnsi="Times New Roman"/>
          <w:b w:val="0"/>
          <w:sz w:val="24"/>
          <w:szCs w:val="24"/>
        </w:rPr>
        <w:t xml:space="preserve">  </w:t>
      </w:r>
      <w:r w:rsidR="001E7DCB">
        <w:rPr>
          <w:rFonts w:ascii="Times New Roman" w:hAnsi="Times New Roman"/>
          <w:b w:val="0"/>
          <w:sz w:val="24"/>
          <w:szCs w:val="24"/>
        </w:rPr>
        <w:t xml:space="preserve">The advantage of a single visit panel here is that all of the metabolic measures are </w:t>
      </w:r>
      <w:r w:rsidR="00E544E7">
        <w:rPr>
          <w:rFonts w:ascii="Times New Roman" w:hAnsi="Times New Roman"/>
          <w:b w:val="0"/>
          <w:sz w:val="24"/>
          <w:szCs w:val="24"/>
        </w:rPr>
        <w:t xml:space="preserve">measured on the same </w:t>
      </w:r>
      <w:r w:rsidR="001E7DCB">
        <w:rPr>
          <w:rFonts w:ascii="Times New Roman" w:hAnsi="Times New Roman"/>
          <w:b w:val="0"/>
          <w:sz w:val="24"/>
          <w:szCs w:val="24"/>
        </w:rPr>
        <w:t>day which</w:t>
      </w:r>
      <w:r w:rsidR="00E544E7">
        <w:rPr>
          <w:rFonts w:ascii="Times New Roman" w:hAnsi="Times New Roman"/>
          <w:b w:val="0"/>
          <w:sz w:val="24"/>
          <w:szCs w:val="24"/>
        </w:rPr>
        <w:t xml:space="preserve"> ensure</w:t>
      </w:r>
      <w:r w:rsidR="001E7DCB">
        <w:rPr>
          <w:rFonts w:ascii="Times New Roman" w:hAnsi="Times New Roman"/>
          <w:b w:val="0"/>
          <w:sz w:val="24"/>
          <w:szCs w:val="24"/>
        </w:rPr>
        <w:t xml:space="preserve">s more </w:t>
      </w:r>
      <w:r w:rsidR="00E544E7">
        <w:rPr>
          <w:rFonts w:ascii="Times New Roman" w:hAnsi="Times New Roman"/>
          <w:b w:val="0"/>
          <w:sz w:val="24"/>
          <w:szCs w:val="24"/>
        </w:rPr>
        <w:t>valid interpretation</w:t>
      </w:r>
      <w:r w:rsidR="00B4320B">
        <w:rPr>
          <w:rFonts w:ascii="Times New Roman" w:hAnsi="Times New Roman"/>
          <w:b w:val="0"/>
          <w:sz w:val="24"/>
          <w:szCs w:val="24"/>
        </w:rPr>
        <w:t xml:space="preserve"> and risk triage</w:t>
      </w:r>
      <w:r w:rsidR="00E544E7">
        <w:rPr>
          <w:rFonts w:ascii="Times New Roman" w:hAnsi="Times New Roman"/>
          <w:b w:val="0"/>
          <w:sz w:val="24"/>
          <w:szCs w:val="24"/>
        </w:rPr>
        <w:t>.</w:t>
      </w:r>
      <w:r w:rsidR="003C7964" w:rsidRPr="003C7964">
        <w:rPr>
          <w:rFonts w:ascii="Times New Roman" w:hAnsi="Times New Roman"/>
          <w:b w:val="0"/>
          <w:sz w:val="24"/>
          <w:szCs w:val="24"/>
        </w:rPr>
        <w:t xml:space="preserve">  </w:t>
      </w:r>
      <w:r w:rsidR="00321F37">
        <w:rPr>
          <w:rFonts w:ascii="Times New Roman" w:hAnsi="Times New Roman"/>
          <w:b w:val="0"/>
          <w:sz w:val="24"/>
          <w:szCs w:val="24"/>
        </w:rPr>
        <w:t xml:space="preserve">Objective and skillful </w:t>
      </w:r>
      <w:r w:rsidR="00FA6E49">
        <w:rPr>
          <w:rFonts w:ascii="Times New Roman" w:hAnsi="Times New Roman"/>
          <w:b w:val="0"/>
          <w:sz w:val="24"/>
          <w:szCs w:val="24"/>
        </w:rPr>
        <w:t>measurement</w:t>
      </w:r>
      <w:r w:rsidR="00321F37">
        <w:rPr>
          <w:rFonts w:ascii="Times New Roman" w:hAnsi="Times New Roman"/>
          <w:b w:val="0"/>
          <w:sz w:val="24"/>
          <w:szCs w:val="24"/>
        </w:rPr>
        <w:t xml:space="preserve"> of adiposity </w:t>
      </w:r>
      <w:r w:rsidR="00FA6E49">
        <w:rPr>
          <w:rFonts w:ascii="Times New Roman" w:hAnsi="Times New Roman"/>
          <w:b w:val="0"/>
          <w:sz w:val="24"/>
          <w:szCs w:val="24"/>
        </w:rPr>
        <w:t>is</w:t>
      </w:r>
      <w:r w:rsidR="00321F37">
        <w:rPr>
          <w:rFonts w:ascii="Times New Roman" w:hAnsi="Times New Roman"/>
          <w:b w:val="0"/>
          <w:sz w:val="24"/>
          <w:szCs w:val="24"/>
        </w:rPr>
        <w:t xml:space="preserve"> also important to</w:t>
      </w:r>
      <w:r w:rsidR="000B361B">
        <w:rPr>
          <w:rFonts w:ascii="Times New Roman" w:hAnsi="Times New Roman"/>
          <w:b w:val="0"/>
          <w:sz w:val="24"/>
          <w:szCs w:val="24"/>
        </w:rPr>
        <w:t xml:space="preserve"> assess at first</w:t>
      </w:r>
      <w:r w:rsidR="00FA6E49">
        <w:rPr>
          <w:rFonts w:ascii="Times New Roman" w:hAnsi="Times New Roman"/>
          <w:b w:val="0"/>
          <w:sz w:val="24"/>
          <w:szCs w:val="24"/>
        </w:rPr>
        <w:t xml:space="preserve"> v</w:t>
      </w:r>
      <w:r w:rsidR="000B361B">
        <w:rPr>
          <w:rFonts w:ascii="Times New Roman" w:hAnsi="Times New Roman"/>
          <w:b w:val="0"/>
          <w:sz w:val="24"/>
          <w:szCs w:val="24"/>
        </w:rPr>
        <w:t>isit and serially</w:t>
      </w:r>
      <w:r w:rsidR="00321F37">
        <w:rPr>
          <w:rFonts w:ascii="Times New Roman" w:hAnsi="Times New Roman"/>
          <w:b w:val="0"/>
          <w:sz w:val="24"/>
          <w:szCs w:val="24"/>
        </w:rPr>
        <w:t xml:space="preserve"> track.  </w:t>
      </w:r>
      <w:r w:rsidR="00FA6E49">
        <w:rPr>
          <w:rFonts w:ascii="Times New Roman" w:hAnsi="Times New Roman"/>
          <w:b w:val="0"/>
          <w:sz w:val="24"/>
          <w:szCs w:val="24"/>
        </w:rPr>
        <w:t xml:space="preserve">One example here would be </w:t>
      </w:r>
      <w:r w:rsidR="005053C9">
        <w:rPr>
          <w:rFonts w:ascii="Times New Roman" w:hAnsi="Times New Roman"/>
          <w:b w:val="0"/>
          <w:sz w:val="24"/>
          <w:szCs w:val="24"/>
        </w:rPr>
        <w:t xml:space="preserve">skillful </w:t>
      </w:r>
      <w:r w:rsidR="00FA6E49">
        <w:rPr>
          <w:rFonts w:ascii="Times New Roman" w:hAnsi="Times New Roman"/>
          <w:b w:val="0"/>
          <w:sz w:val="24"/>
          <w:szCs w:val="24"/>
        </w:rPr>
        <w:t>skinfold assessment with Lange calipers of s</w:t>
      </w:r>
      <w:r w:rsidR="003C7964" w:rsidRPr="003C7964">
        <w:rPr>
          <w:rFonts w:ascii="Times New Roman" w:hAnsi="Times New Roman"/>
          <w:b w:val="0"/>
          <w:sz w:val="24"/>
          <w:szCs w:val="24"/>
        </w:rPr>
        <w:t>elect skinfold site</w:t>
      </w:r>
      <w:r w:rsidR="00321F37">
        <w:rPr>
          <w:rFonts w:ascii="Times New Roman" w:hAnsi="Times New Roman"/>
          <w:b w:val="0"/>
          <w:sz w:val="24"/>
          <w:szCs w:val="24"/>
        </w:rPr>
        <w:t xml:space="preserve">s to </w:t>
      </w:r>
      <w:r w:rsidR="007025E8">
        <w:rPr>
          <w:rFonts w:ascii="Times New Roman" w:hAnsi="Times New Roman"/>
          <w:b w:val="0"/>
          <w:sz w:val="24"/>
          <w:szCs w:val="24"/>
        </w:rPr>
        <w:t xml:space="preserve">evaluate </w:t>
      </w:r>
      <w:r w:rsidR="007025E8" w:rsidRPr="007025E8">
        <w:rPr>
          <w:rFonts w:ascii="Times New Roman" w:hAnsi="Times New Roman"/>
          <w:b w:val="0"/>
          <w:sz w:val="24"/>
          <w:szCs w:val="24"/>
          <w:u w:val="single"/>
        </w:rPr>
        <w:t>changes</w:t>
      </w:r>
      <w:r w:rsidR="007025E8">
        <w:rPr>
          <w:rFonts w:ascii="Times New Roman" w:hAnsi="Times New Roman"/>
          <w:b w:val="0"/>
          <w:sz w:val="24"/>
          <w:szCs w:val="24"/>
        </w:rPr>
        <w:t xml:space="preserve"> in adiposity versus</w:t>
      </w:r>
      <w:r w:rsidR="00FA6E49">
        <w:rPr>
          <w:rFonts w:ascii="Times New Roman" w:hAnsi="Times New Roman"/>
          <w:b w:val="0"/>
          <w:sz w:val="24"/>
          <w:szCs w:val="24"/>
        </w:rPr>
        <w:t xml:space="preserve"> only using BMI and </w:t>
      </w:r>
      <w:r w:rsidR="007025E8">
        <w:rPr>
          <w:rFonts w:ascii="Times New Roman" w:hAnsi="Times New Roman"/>
          <w:b w:val="0"/>
          <w:sz w:val="24"/>
          <w:szCs w:val="24"/>
        </w:rPr>
        <w:t>body weight.</w:t>
      </w:r>
      <w:r w:rsidR="003C7964" w:rsidRPr="003C7964">
        <w:rPr>
          <w:rFonts w:ascii="Times New Roman" w:hAnsi="Times New Roman"/>
          <w:b w:val="0"/>
          <w:sz w:val="24"/>
          <w:szCs w:val="24"/>
        </w:rPr>
        <w:t xml:space="preserve"> </w:t>
      </w:r>
      <w:r w:rsidR="00DB6C3E">
        <w:rPr>
          <w:rFonts w:ascii="Times New Roman" w:hAnsi="Times New Roman"/>
          <w:b w:val="0"/>
          <w:sz w:val="24"/>
          <w:szCs w:val="24"/>
        </w:rPr>
        <w:t xml:space="preserve">When measured </w:t>
      </w:r>
      <w:r w:rsidR="008E5941">
        <w:rPr>
          <w:rFonts w:ascii="Times New Roman" w:hAnsi="Times New Roman"/>
          <w:b w:val="0"/>
          <w:sz w:val="24"/>
          <w:szCs w:val="24"/>
        </w:rPr>
        <w:t>proficiently</w:t>
      </w:r>
      <w:r w:rsidR="00DB6C3E">
        <w:rPr>
          <w:rFonts w:ascii="Times New Roman" w:hAnsi="Times New Roman"/>
          <w:b w:val="0"/>
          <w:sz w:val="24"/>
          <w:szCs w:val="24"/>
        </w:rPr>
        <w:t xml:space="preserve"> skinfolds more precisely r</w:t>
      </w:r>
      <w:r w:rsidR="008E5941">
        <w:rPr>
          <w:rFonts w:ascii="Times New Roman" w:hAnsi="Times New Roman"/>
          <w:b w:val="0"/>
          <w:sz w:val="24"/>
          <w:szCs w:val="24"/>
        </w:rPr>
        <w:t xml:space="preserve">eflect changes in adiposity compared to </w:t>
      </w:r>
      <w:r w:rsidR="00DB6C3E">
        <w:rPr>
          <w:rFonts w:ascii="Times New Roman" w:hAnsi="Times New Roman"/>
          <w:b w:val="0"/>
          <w:sz w:val="24"/>
          <w:szCs w:val="24"/>
        </w:rPr>
        <w:t xml:space="preserve"> body weight</w:t>
      </w:r>
      <w:r w:rsidR="008E5941">
        <w:rPr>
          <w:rFonts w:ascii="Times New Roman" w:hAnsi="Times New Roman"/>
          <w:b w:val="0"/>
          <w:sz w:val="24"/>
          <w:szCs w:val="24"/>
        </w:rPr>
        <w:t xml:space="preserve"> changes</w:t>
      </w:r>
      <w:r w:rsidR="00DB6C3E">
        <w:rPr>
          <w:rFonts w:ascii="Times New Roman" w:hAnsi="Times New Roman"/>
          <w:b w:val="0"/>
          <w:sz w:val="24"/>
          <w:szCs w:val="24"/>
        </w:rPr>
        <w:t xml:space="preserve">.  </w:t>
      </w:r>
      <w:r w:rsidR="003F4C8C">
        <w:rPr>
          <w:rFonts w:ascii="Times New Roman" w:hAnsi="Times New Roman"/>
          <w:b w:val="0"/>
          <w:sz w:val="24"/>
          <w:szCs w:val="24"/>
        </w:rPr>
        <w:t>A copy of</w:t>
      </w:r>
      <w:r w:rsidR="002F1016">
        <w:rPr>
          <w:rFonts w:ascii="Times New Roman" w:hAnsi="Times New Roman"/>
          <w:b w:val="0"/>
          <w:sz w:val="24"/>
          <w:szCs w:val="24"/>
        </w:rPr>
        <w:t xml:space="preserve"> the</w:t>
      </w:r>
      <w:r w:rsidR="003F4C8C">
        <w:rPr>
          <w:rFonts w:ascii="Times New Roman" w:hAnsi="Times New Roman"/>
          <w:b w:val="0"/>
          <w:sz w:val="24"/>
          <w:szCs w:val="24"/>
        </w:rPr>
        <w:t xml:space="preserve"> </w:t>
      </w:r>
      <w:r w:rsidR="003F4C8C" w:rsidRPr="003F4C8C">
        <w:rPr>
          <w:rFonts w:ascii="Times New Roman" w:hAnsi="Times New Roman"/>
          <w:b w:val="0"/>
          <w:i/>
          <w:sz w:val="24"/>
          <w:szCs w:val="24"/>
        </w:rPr>
        <w:t>201</w:t>
      </w:r>
      <w:r w:rsidR="00F51B66">
        <w:rPr>
          <w:rFonts w:ascii="Times New Roman" w:hAnsi="Times New Roman"/>
          <w:b w:val="0"/>
          <w:i/>
          <w:sz w:val="24"/>
          <w:szCs w:val="24"/>
        </w:rPr>
        <w:t>5</w:t>
      </w:r>
      <w:r w:rsidR="003F4C8C">
        <w:rPr>
          <w:rFonts w:ascii="Times New Roman" w:hAnsi="Times New Roman"/>
          <w:b w:val="0"/>
          <w:sz w:val="24"/>
          <w:szCs w:val="24"/>
        </w:rPr>
        <w:t xml:space="preserve"> </w:t>
      </w:r>
      <w:r w:rsidR="003F4C8C" w:rsidRPr="003F4C8C">
        <w:rPr>
          <w:rFonts w:ascii="Times New Roman" w:hAnsi="Times New Roman"/>
          <w:b w:val="0"/>
          <w:i/>
          <w:sz w:val="24"/>
          <w:szCs w:val="24"/>
        </w:rPr>
        <w:t>Office-based Anthropometric Assessment Guidelines</w:t>
      </w:r>
      <w:r w:rsidR="003F4C8C">
        <w:rPr>
          <w:rFonts w:ascii="Times New Roman" w:hAnsi="Times New Roman"/>
          <w:b w:val="0"/>
          <w:sz w:val="24"/>
          <w:szCs w:val="24"/>
        </w:rPr>
        <w:t xml:space="preserve"> are available</w:t>
      </w:r>
      <w:r w:rsidR="007E4D64">
        <w:rPr>
          <w:rFonts w:ascii="Times New Roman" w:hAnsi="Times New Roman"/>
          <w:b w:val="0"/>
          <w:sz w:val="24"/>
          <w:szCs w:val="24"/>
        </w:rPr>
        <w:t xml:space="preserve"> as part of the 6-hour intensive staff </w:t>
      </w:r>
      <w:r w:rsidR="00E14141">
        <w:rPr>
          <w:rFonts w:ascii="Times New Roman" w:hAnsi="Times New Roman"/>
          <w:b w:val="0"/>
          <w:sz w:val="24"/>
          <w:szCs w:val="24"/>
        </w:rPr>
        <w:t xml:space="preserve">LCMRP </w:t>
      </w:r>
      <w:r w:rsidR="007E4D64">
        <w:rPr>
          <w:rFonts w:ascii="Times New Roman" w:hAnsi="Times New Roman"/>
          <w:b w:val="0"/>
          <w:sz w:val="24"/>
          <w:szCs w:val="24"/>
        </w:rPr>
        <w:t>in-service</w:t>
      </w:r>
      <w:r w:rsidR="00E14141">
        <w:rPr>
          <w:rFonts w:ascii="Times New Roman" w:hAnsi="Times New Roman"/>
          <w:b w:val="0"/>
          <w:sz w:val="24"/>
          <w:szCs w:val="24"/>
        </w:rPr>
        <w:t xml:space="preserve"> (email:</w:t>
      </w:r>
      <w:hyperlink r:id="rId17" w:history="1">
        <w:r w:rsidR="007E4D64" w:rsidRPr="00B431E4">
          <w:rPr>
            <w:rStyle w:val="Hyperlink"/>
            <w:rFonts w:ascii="Times New Roman" w:hAnsi="Times New Roman"/>
            <w:b w:val="0"/>
            <w:i/>
            <w:sz w:val="24"/>
            <w:szCs w:val="24"/>
          </w:rPr>
          <w:t>rlaforge@nc.rr.com</w:t>
        </w:r>
      </w:hyperlink>
      <w:r w:rsidR="007E4D64">
        <w:rPr>
          <w:rFonts w:ascii="Times New Roman" w:hAnsi="Times New Roman"/>
          <w:b w:val="0"/>
          <w:i/>
          <w:sz w:val="24"/>
          <w:szCs w:val="24"/>
        </w:rPr>
        <w:t xml:space="preserve"> </w:t>
      </w:r>
      <w:r w:rsidR="007E4D64" w:rsidRPr="007E4D64">
        <w:rPr>
          <w:rFonts w:ascii="Times New Roman" w:hAnsi="Times New Roman"/>
          <w:b w:val="0"/>
          <w:sz w:val="24"/>
          <w:szCs w:val="24"/>
        </w:rPr>
        <w:t>for more information)</w:t>
      </w:r>
      <w:r w:rsidR="00E14141">
        <w:rPr>
          <w:rFonts w:ascii="Times New Roman" w:hAnsi="Times New Roman"/>
          <w:b w:val="0"/>
          <w:sz w:val="24"/>
          <w:szCs w:val="24"/>
        </w:rPr>
        <w:t>.</w:t>
      </w:r>
    </w:p>
    <w:p w:rsidR="00820C6A" w:rsidRPr="003C7964" w:rsidRDefault="00820C6A" w:rsidP="00EA7B6A">
      <w:pPr>
        <w:pStyle w:val="Title"/>
        <w:jc w:val="left"/>
        <w:rPr>
          <w:b w:val="0"/>
          <w:color w:val="000000"/>
          <w:sz w:val="24"/>
          <w:szCs w:val="24"/>
        </w:rPr>
      </w:pPr>
    </w:p>
    <w:p w:rsidR="009716EC" w:rsidRDefault="00C965C7" w:rsidP="009716EC">
      <w:pPr>
        <w:autoSpaceDE w:val="0"/>
        <w:autoSpaceDN w:val="0"/>
        <w:adjustRightInd w:val="0"/>
        <w:rPr>
          <w:rFonts w:ascii="Times New Roman" w:hAnsi="Times New Roman"/>
          <w:color w:val="000000"/>
          <w:szCs w:val="24"/>
        </w:rPr>
      </w:pPr>
      <w:r w:rsidRPr="009716EC">
        <w:rPr>
          <w:rFonts w:ascii="Times New Roman" w:hAnsi="Times New Roman"/>
          <w:color w:val="000000"/>
          <w:szCs w:val="24"/>
        </w:rPr>
        <w:t>Patient visit procedures should consist of individual office and/or telephonic follow-up visits.  High risk metabolic syndrome patients will require individual follow-up, e</w:t>
      </w:r>
      <w:r w:rsidR="00F53202" w:rsidRPr="009716EC">
        <w:rPr>
          <w:rFonts w:ascii="Times New Roman" w:hAnsi="Times New Roman"/>
          <w:color w:val="000000"/>
          <w:szCs w:val="24"/>
        </w:rPr>
        <w:t>.</w:t>
      </w:r>
      <w:r w:rsidRPr="009716EC">
        <w:rPr>
          <w:rFonts w:ascii="Times New Roman" w:hAnsi="Times New Roman"/>
          <w:color w:val="000000"/>
          <w:szCs w:val="24"/>
        </w:rPr>
        <w:t>g.</w:t>
      </w:r>
      <w:r w:rsidR="00F53202" w:rsidRPr="009716EC">
        <w:rPr>
          <w:rFonts w:ascii="Times New Roman" w:hAnsi="Times New Roman"/>
          <w:color w:val="000000"/>
          <w:szCs w:val="24"/>
        </w:rPr>
        <w:t>,</w:t>
      </w:r>
      <w:r w:rsidRPr="009716EC">
        <w:rPr>
          <w:rFonts w:ascii="Times New Roman" w:hAnsi="Times New Roman"/>
          <w:color w:val="000000"/>
          <w:szCs w:val="24"/>
        </w:rPr>
        <w:t xml:space="preserve"> </w:t>
      </w:r>
      <w:r w:rsidRPr="009716EC">
        <w:rPr>
          <w:rFonts w:ascii="Times New Roman" w:hAnsi="Times New Roman"/>
          <w:i/>
          <w:color w:val="000000"/>
          <w:szCs w:val="24"/>
        </w:rPr>
        <w:t xml:space="preserve">initial office visit: </w:t>
      </w:r>
      <w:r w:rsidR="00573A39" w:rsidRPr="009716EC">
        <w:rPr>
          <w:rFonts w:ascii="Times New Roman" w:hAnsi="Times New Roman"/>
          <w:i/>
          <w:color w:val="000000"/>
          <w:szCs w:val="24"/>
        </w:rPr>
        <w:t>25</w:t>
      </w:r>
      <w:r w:rsidR="00A60E61" w:rsidRPr="009716EC">
        <w:rPr>
          <w:rFonts w:ascii="Times New Roman" w:hAnsi="Times New Roman"/>
          <w:i/>
          <w:color w:val="000000"/>
          <w:szCs w:val="24"/>
        </w:rPr>
        <w:t>-</w:t>
      </w:r>
      <w:r w:rsidR="00573A39" w:rsidRPr="009716EC">
        <w:rPr>
          <w:rFonts w:ascii="Times New Roman" w:hAnsi="Times New Roman"/>
          <w:i/>
          <w:color w:val="000000"/>
          <w:szCs w:val="24"/>
        </w:rPr>
        <w:t>30</w:t>
      </w:r>
      <w:r w:rsidRPr="009716EC">
        <w:rPr>
          <w:rFonts w:ascii="Times New Roman" w:hAnsi="Times New Roman"/>
          <w:i/>
          <w:color w:val="000000"/>
          <w:szCs w:val="24"/>
        </w:rPr>
        <w:t xml:space="preserve"> minutes, return office visits: (4-8 week intervals) </w:t>
      </w:r>
      <w:r w:rsidR="00573A39" w:rsidRPr="009716EC">
        <w:rPr>
          <w:rFonts w:ascii="Times New Roman" w:hAnsi="Times New Roman"/>
          <w:i/>
          <w:color w:val="000000"/>
          <w:szCs w:val="24"/>
        </w:rPr>
        <w:t>20</w:t>
      </w:r>
      <w:r w:rsidRPr="009716EC">
        <w:rPr>
          <w:rFonts w:ascii="Times New Roman" w:hAnsi="Times New Roman"/>
          <w:i/>
          <w:color w:val="000000"/>
          <w:szCs w:val="24"/>
        </w:rPr>
        <w:t xml:space="preserve"> minutes</w:t>
      </w:r>
      <w:r w:rsidRPr="009716EC">
        <w:rPr>
          <w:rFonts w:ascii="Times New Roman" w:hAnsi="Times New Roman"/>
          <w:color w:val="000000"/>
          <w:szCs w:val="24"/>
        </w:rPr>
        <w:t xml:space="preserve">. </w:t>
      </w:r>
      <w:r w:rsidR="00573A39" w:rsidRPr="009716EC">
        <w:rPr>
          <w:rFonts w:ascii="Times New Roman" w:hAnsi="Times New Roman"/>
          <w:color w:val="000000"/>
          <w:szCs w:val="24"/>
        </w:rPr>
        <w:t>The frequency of return visits are based on the patient’s level of motivational readiness.</w:t>
      </w:r>
      <w:r w:rsidRPr="009716EC">
        <w:rPr>
          <w:rFonts w:ascii="Times New Roman" w:hAnsi="Times New Roman"/>
          <w:color w:val="000000"/>
          <w:szCs w:val="24"/>
        </w:rPr>
        <w:t xml:space="preserve">  </w:t>
      </w:r>
      <w:r w:rsidR="00072F05">
        <w:rPr>
          <w:rFonts w:ascii="Times New Roman" w:hAnsi="Times New Roman"/>
          <w:color w:val="000000"/>
          <w:szCs w:val="24"/>
        </w:rPr>
        <w:t xml:space="preserve">One CMR programming model focuses on the metabolic syndrome.  </w:t>
      </w:r>
      <w:r w:rsidRPr="009716EC">
        <w:rPr>
          <w:rFonts w:ascii="Times New Roman" w:hAnsi="Times New Roman"/>
          <w:color w:val="000000"/>
          <w:szCs w:val="24"/>
        </w:rPr>
        <w:t xml:space="preserve">Patients who meet the entry criteria for the metabolic syndrome, i.e., at least 3 metabolic syndrome risk factors, can be classified or risk-triaged as </w:t>
      </w:r>
      <w:r w:rsidRPr="009716EC">
        <w:rPr>
          <w:rFonts w:ascii="Times New Roman" w:hAnsi="Times New Roman"/>
          <w:i/>
          <w:color w:val="000000"/>
          <w:szCs w:val="24"/>
        </w:rPr>
        <w:t>high or intermediate risk</w:t>
      </w:r>
      <w:r w:rsidRPr="009716EC">
        <w:rPr>
          <w:rFonts w:ascii="Times New Roman" w:hAnsi="Times New Roman"/>
          <w:color w:val="000000"/>
          <w:szCs w:val="24"/>
        </w:rPr>
        <w:t xml:space="preserve"> metabolic syndrome based on the number and magnitude of risk factors.  Those who have </w:t>
      </w:r>
      <w:r w:rsidRPr="009716EC">
        <w:rPr>
          <w:rFonts w:ascii="Times New Roman" w:hAnsi="Times New Roman"/>
          <w:i/>
          <w:color w:val="000000"/>
          <w:szCs w:val="24"/>
        </w:rPr>
        <w:t>high risk metabolic syndrome</w:t>
      </w:r>
      <w:r w:rsidRPr="009716EC">
        <w:rPr>
          <w:rFonts w:ascii="Times New Roman" w:hAnsi="Times New Roman"/>
          <w:color w:val="000000"/>
          <w:szCs w:val="24"/>
        </w:rPr>
        <w:t xml:space="preserve"> (those with </w:t>
      </w:r>
      <w:r w:rsidR="00867030">
        <w:rPr>
          <w:rFonts w:ascii="Times New Roman" w:hAnsi="Times New Roman"/>
          <w:color w:val="000000"/>
          <w:szCs w:val="24"/>
        </w:rPr>
        <w:t xml:space="preserve">NLA 2014 or </w:t>
      </w:r>
      <w:r w:rsidRPr="009716EC">
        <w:rPr>
          <w:rFonts w:ascii="Times New Roman" w:hAnsi="Times New Roman"/>
          <w:color w:val="000000"/>
          <w:szCs w:val="24"/>
        </w:rPr>
        <w:t>NCEP ATP III criteria plus additional risk factors such as NASH, stage I hypertension</w:t>
      </w:r>
      <w:r w:rsidR="008D7CBB" w:rsidRPr="009716EC">
        <w:rPr>
          <w:rFonts w:ascii="Times New Roman" w:hAnsi="Times New Roman"/>
          <w:color w:val="000000"/>
          <w:szCs w:val="24"/>
        </w:rPr>
        <w:t xml:space="preserve">, very high triglycerides, </w:t>
      </w:r>
      <w:r w:rsidR="00072F05">
        <w:rPr>
          <w:rFonts w:ascii="Times New Roman" w:hAnsi="Times New Roman"/>
          <w:color w:val="000000"/>
          <w:szCs w:val="24"/>
        </w:rPr>
        <w:t xml:space="preserve">PCOS, </w:t>
      </w:r>
      <w:r w:rsidR="008D7CBB" w:rsidRPr="009716EC">
        <w:rPr>
          <w:rFonts w:ascii="Times New Roman" w:hAnsi="Times New Roman"/>
          <w:color w:val="000000"/>
          <w:szCs w:val="24"/>
        </w:rPr>
        <w:t>etc.</w:t>
      </w:r>
      <w:r w:rsidRPr="009716EC">
        <w:rPr>
          <w:rFonts w:ascii="Times New Roman" w:hAnsi="Times New Roman"/>
          <w:color w:val="000000"/>
          <w:szCs w:val="24"/>
        </w:rPr>
        <w:t>) should be prioritized for intensive therapy and more frequent follow-up.</w:t>
      </w:r>
      <w:r w:rsidR="00A35A0C" w:rsidRPr="009716EC">
        <w:rPr>
          <w:rFonts w:ascii="Times New Roman" w:hAnsi="Times New Roman"/>
          <w:color w:val="000000"/>
          <w:szCs w:val="24"/>
        </w:rPr>
        <w:t xml:space="preserve">  </w:t>
      </w:r>
      <w:r w:rsidR="00164BAF">
        <w:rPr>
          <w:rFonts w:ascii="Times New Roman" w:hAnsi="Times New Roman"/>
          <w:color w:val="000000"/>
          <w:szCs w:val="24"/>
        </w:rPr>
        <w:t>T</w:t>
      </w:r>
      <w:r w:rsidR="00A35A0C" w:rsidRPr="009716EC">
        <w:rPr>
          <w:rFonts w:ascii="Times New Roman" w:hAnsi="Times New Roman"/>
          <w:color w:val="000000"/>
          <w:szCs w:val="24"/>
        </w:rPr>
        <w:t>raditional Framingham risk factors</w:t>
      </w:r>
      <w:r w:rsidR="00164BAF">
        <w:rPr>
          <w:rFonts w:ascii="Times New Roman" w:hAnsi="Times New Roman"/>
          <w:color w:val="000000"/>
          <w:szCs w:val="24"/>
        </w:rPr>
        <w:t xml:space="preserve"> exclusive of those of the metabolic syndrome</w:t>
      </w:r>
      <w:r w:rsidR="00A35A0C" w:rsidRPr="009716EC">
        <w:rPr>
          <w:rFonts w:ascii="Times New Roman" w:hAnsi="Times New Roman"/>
          <w:color w:val="000000"/>
          <w:szCs w:val="24"/>
        </w:rPr>
        <w:t xml:space="preserve">, e.g., elevated </w:t>
      </w:r>
      <w:r w:rsidR="002530AC" w:rsidRPr="009716EC">
        <w:rPr>
          <w:rFonts w:ascii="Times New Roman" w:hAnsi="Times New Roman"/>
          <w:color w:val="000000"/>
          <w:szCs w:val="24"/>
        </w:rPr>
        <w:t xml:space="preserve">TC and </w:t>
      </w:r>
      <w:r w:rsidR="00A35A0C" w:rsidRPr="009716EC">
        <w:rPr>
          <w:rFonts w:ascii="Times New Roman" w:hAnsi="Times New Roman"/>
          <w:color w:val="000000"/>
          <w:szCs w:val="24"/>
        </w:rPr>
        <w:t>LDL-C</w:t>
      </w:r>
      <w:r w:rsidR="00164BAF">
        <w:rPr>
          <w:rFonts w:ascii="Times New Roman" w:hAnsi="Times New Roman"/>
          <w:color w:val="000000"/>
          <w:szCs w:val="24"/>
        </w:rPr>
        <w:t xml:space="preserve"> should also be addressed</w:t>
      </w:r>
      <w:r w:rsidR="00A35A0C" w:rsidRPr="009716EC">
        <w:rPr>
          <w:rFonts w:ascii="Times New Roman" w:hAnsi="Times New Roman"/>
          <w:color w:val="000000"/>
          <w:szCs w:val="24"/>
        </w:rPr>
        <w:t>.</w:t>
      </w:r>
      <w:r w:rsidRPr="009716EC">
        <w:rPr>
          <w:rFonts w:ascii="Times New Roman" w:hAnsi="Times New Roman"/>
          <w:color w:val="000000"/>
          <w:szCs w:val="24"/>
        </w:rPr>
        <w:t xml:space="preserve">  </w:t>
      </w:r>
      <w:r w:rsidR="00EA7B6A" w:rsidRPr="009716EC">
        <w:rPr>
          <w:rFonts w:ascii="Times New Roman" w:hAnsi="Times New Roman"/>
          <w:color w:val="000000"/>
          <w:szCs w:val="24"/>
        </w:rPr>
        <w:t>All metabolic syndrome patients should have access to a o</w:t>
      </w:r>
      <w:r w:rsidRPr="009716EC">
        <w:rPr>
          <w:rFonts w:ascii="Times New Roman" w:hAnsi="Times New Roman"/>
          <w:color w:val="000000"/>
          <w:szCs w:val="24"/>
        </w:rPr>
        <w:t xml:space="preserve">nce-monthly education support group </w:t>
      </w:r>
      <w:r w:rsidR="00EA7B6A" w:rsidRPr="009716EC">
        <w:rPr>
          <w:rFonts w:ascii="Times New Roman" w:hAnsi="Times New Roman"/>
          <w:color w:val="000000"/>
          <w:szCs w:val="24"/>
        </w:rPr>
        <w:t xml:space="preserve">which </w:t>
      </w:r>
      <w:r w:rsidRPr="009716EC">
        <w:rPr>
          <w:rFonts w:ascii="Times New Roman" w:hAnsi="Times New Roman"/>
          <w:color w:val="000000"/>
          <w:szCs w:val="24"/>
        </w:rPr>
        <w:t>will be helpful with problem solving, lifestyle education, and reinforcement of the therapeutic plan.  Compliance management tools (motivational interviewing-brief negotiations) can also be productively employed in this program.</w:t>
      </w:r>
      <w:r w:rsidR="00EA7B6A" w:rsidRPr="009716EC">
        <w:rPr>
          <w:rFonts w:ascii="Times New Roman" w:hAnsi="Times New Roman"/>
          <w:color w:val="000000"/>
          <w:szCs w:val="24"/>
        </w:rPr>
        <w:t xml:space="preserve">   </w:t>
      </w:r>
    </w:p>
    <w:p w:rsidR="009716EC" w:rsidRDefault="009716EC" w:rsidP="009716EC">
      <w:pPr>
        <w:autoSpaceDE w:val="0"/>
        <w:autoSpaceDN w:val="0"/>
        <w:adjustRightInd w:val="0"/>
        <w:rPr>
          <w:rFonts w:ascii="Times New Roman" w:hAnsi="Times New Roman"/>
          <w:color w:val="000000"/>
          <w:szCs w:val="24"/>
        </w:rPr>
      </w:pPr>
    </w:p>
    <w:p w:rsidR="00440BAB" w:rsidRDefault="009716EC" w:rsidP="009716EC">
      <w:pPr>
        <w:autoSpaceDE w:val="0"/>
        <w:autoSpaceDN w:val="0"/>
        <w:adjustRightInd w:val="0"/>
        <w:rPr>
          <w:b/>
          <w:color w:val="000000"/>
          <w:szCs w:val="24"/>
        </w:rPr>
      </w:pPr>
      <w:r>
        <w:rPr>
          <w:rFonts w:ascii="Times New Roman" w:hAnsi="Times New Roman"/>
          <w:color w:val="000000"/>
        </w:rPr>
        <w:t>*</w:t>
      </w:r>
      <w:r w:rsidRPr="009716EC">
        <w:rPr>
          <w:rFonts w:ascii="Times New Roman" w:hAnsi="Times New Roman"/>
          <w:color w:val="000000"/>
        </w:rPr>
        <w:t xml:space="preserve">As an option to metabolic syndrome risk factors </w:t>
      </w:r>
      <w:r w:rsidR="00745E36">
        <w:rPr>
          <w:rFonts w:ascii="Times New Roman" w:hAnsi="Times New Roman"/>
          <w:color w:val="000000"/>
        </w:rPr>
        <w:t>for</w:t>
      </w:r>
      <w:r w:rsidRPr="009716EC">
        <w:rPr>
          <w:rFonts w:ascii="Times New Roman" w:hAnsi="Times New Roman"/>
          <w:color w:val="000000"/>
        </w:rPr>
        <w:t xml:space="preserve"> program entry criteria those programs specifically focusing on </w:t>
      </w:r>
      <w:r w:rsidRPr="00745E36">
        <w:rPr>
          <w:rFonts w:ascii="Times New Roman" w:hAnsi="Times New Roman"/>
          <w:i/>
          <w:color w:val="000000"/>
        </w:rPr>
        <w:t>diabetes prevention</w:t>
      </w:r>
      <w:r w:rsidRPr="009716EC">
        <w:rPr>
          <w:rFonts w:ascii="Times New Roman" w:hAnsi="Times New Roman"/>
          <w:color w:val="000000"/>
        </w:rPr>
        <w:t xml:space="preserve"> can use </w:t>
      </w:r>
      <w:r w:rsidRPr="00064881">
        <w:rPr>
          <w:rFonts w:ascii="Times New Roman" w:hAnsi="Times New Roman"/>
          <w:b/>
          <w:color w:val="000000"/>
        </w:rPr>
        <w:t>prediabetes</w:t>
      </w:r>
      <w:r w:rsidRPr="009716EC">
        <w:rPr>
          <w:rFonts w:ascii="Times New Roman" w:hAnsi="Times New Roman"/>
          <w:color w:val="000000"/>
        </w:rPr>
        <w:t xml:space="preserve"> (i.e., impaired fasting glucose </w:t>
      </w:r>
      <w:r>
        <w:rPr>
          <w:rFonts w:ascii="Times New Roman" w:hAnsi="Times New Roman"/>
          <w:color w:val="000000"/>
        </w:rPr>
        <w:t>and/</w:t>
      </w:r>
      <w:r w:rsidRPr="009716EC">
        <w:rPr>
          <w:rFonts w:ascii="Times New Roman" w:hAnsi="Times New Roman"/>
          <w:color w:val="000000"/>
        </w:rPr>
        <w:t xml:space="preserve">or impaired glucose tolerance or A1C </w:t>
      </w:r>
      <w:r w:rsidRPr="009716EC">
        <w:rPr>
          <w:rFonts w:ascii="Times New Roman" w:hAnsi="Times New Roman"/>
          <w:snapToGrid/>
        </w:rPr>
        <w:t>of 5.7–6.4%) plus a measure of obesity (wai</w:t>
      </w:r>
      <w:r w:rsidR="005A07DB">
        <w:rPr>
          <w:rFonts w:ascii="Times New Roman" w:hAnsi="Times New Roman"/>
          <w:snapToGrid/>
        </w:rPr>
        <w:t xml:space="preserve">st circumference or BMI) as </w:t>
      </w:r>
      <w:r w:rsidRPr="009716EC">
        <w:rPr>
          <w:rFonts w:ascii="Times New Roman" w:hAnsi="Times New Roman"/>
          <w:snapToGrid/>
        </w:rPr>
        <w:t xml:space="preserve">program entry criteria.  They can also require prediabetes and any two </w:t>
      </w:r>
      <w:r w:rsidRPr="009716EC">
        <w:rPr>
          <w:rFonts w:ascii="Times New Roman" w:hAnsi="Times New Roman"/>
          <w:snapToGrid/>
        </w:rPr>
        <w:lastRenderedPageBreak/>
        <w:t>other metabolic syndrome risk factors.</w:t>
      </w:r>
      <w:r w:rsidR="000A0576">
        <w:rPr>
          <w:rFonts w:ascii="Times New Roman" w:hAnsi="Times New Roman"/>
          <w:snapToGrid/>
        </w:rPr>
        <w:t xml:space="preserve"> These programs do not exclude LDL-C management but prioritize management of glucose tolerance and adiposity. </w:t>
      </w:r>
    </w:p>
    <w:p w:rsidR="00820C6A" w:rsidRDefault="00820C6A" w:rsidP="00EA7B6A">
      <w:pPr>
        <w:pStyle w:val="Title"/>
        <w:jc w:val="left"/>
        <w:rPr>
          <w:b w:val="0"/>
          <w:color w:val="000000"/>
          <w:sz w:val="24"/>
          <w:szCs w:val="24"/>
        </w:rPr>
      </w:pPr>
    </w:p>
    <w:p w:rsidR="00820C6A" w:rsidRDefault="00820C6A" w:rsidP="00EA7B6A">
      <w:pPr>
        <w:pStyle w:val="Title"/>
        <w:jc w:val="left"/>
        <w:rPr>
          <w:b w:val="0"/>
          <w:color w:val="000000"/>
          <w:sz w:val="24"/>
          <w:szCs w:val="24"/>
        </w:rPr>
      </w:pPr>
      <w:r>
        <w:rPr>
          <w:b w:val="0"/>
          <w:color w:val="000000"/>
          <w:sz w:val="24"/>
          <w:szCs w:val="24"/>
        </w:rPr>
        <w:t>Choosing clear objective outcomes measures will be important for CMR p</w:t>
      </w:r>
      <w:r w:rsidR="00E66A3E">
        <w:rPr>
          <w:b w:val="0"/>
          <w:color w:val="000000"/>
          <w:sz w:val="24"/>
          <w:szCs w:val="24"/>
        </w:rPr>
        <w:t>rograms to establish their value</w:t>
      </w:r>
      <w:r>
        <w:rPr>
          <w:b w:val="0"/>
          <w:color w:val="000000"/>
          <w:sz w:val="24"/>
          <w:szCs w:val="24"/>
        </w:rPr>
        <w:t xml:space="preserve"> both for patients and payers.  Besides standard laboratory derived outcomes behavioral outcomes measures will be key to measure and record, for example:  objective dietary changes as measured by the STC (Starting the Conversation) dietary score, weekly/monthly pedometer step totals, fast food encounters/wk, fruits/vegetable servings/wk, Mediterranean dietary score, physical activity encounters/wk, etc. </w:t>
      </w:r>
      <w:r w:rsidR="0062024D">
        <w:rPr>
          <w:b w:val="0"/>
          <w:color w:val="000000"/>
          <w:sz w:val="24"/>
          <w:szCs w:val="24"/>
        </w:rPr>
        <w:t xml:space="preserve"> Clinical pedometry prescription guidelines </w:t>
      </w:r>
      <w:r w:rsidR="00D265F2">
        <w:rPr>
          <w:b w:val="0"/>
          <w:color w:val="000000"/>
          <w:sz w:val="24"/>
          <w:szCs w:val="24"/>
        </w:rPr>
        <w:t xml:space="preserve">for CMR programs </w:t>
      </w:r>
      <w:r w:rsidR="0062024D">
        <w:rPr>
          <w:b w:val="0"/>
          <w:color w:val="000000"/>
          <w:sz w:val="24"/>
          <w:szCs w:val="24"/>
        </w:rPr>
        <w:t xml:space="preserve">are available </w:t>
      </w:r>
      <w:r w:rsidR="007E4D64">
        <w:rPr>
          <w:b w:val="0"/>
          <w:color w:val="000000"/>
          <w:sz w:val="24"/>
          <w:szCs w:val="24"/>
        </w:rPr>
        <w:t>as part of the Lipid and CMRP staff in-service</w:t>
      </w:r>
      <w:r w:rsidR="0062024D">
        <w:rPr>
          <w:b w:val="0"/>
          <w:color w:val="000000"/>
          <w:sz w:val="24"/>
          <w:szCs w:val="24"/>
        </w:rPr>
        <w:t xml:space="preserve"> (</w:t>
      </w:r>
      <w:r w:rsidR="0062024D" w:rsidRPr="0062024D">
        <w:rPr>
          <w:b w:val="0"/>
          <w:i/>
          <w:color w:val="000000"/>
          <w:sz w:val="24"/>
          <w:szCs w:val="24"/>
        </w:rPr>
        <w:t>Clinical Application of Pedometers: Recommendations for Healt</w:t>
      </w:r>
      <w:r w:rsidR="00DD74ED">
        <w:rPr>
          <w:b w:val="0"/>
          <w:i/>
          <w:color w:val="000000"/>
          <w:sz w:val="24"/>
          <w:szCs w:val="24"/>
        </w:rPr>
        <w:t>h Care Providers.  La Forge, 2015</w:t>
      </w:r>
      <w:r w:rsidR="0062024D">
        <w:rPr>
          <w:b w:val="0"/>
          <w:color w:val="000000"/>
          <w:sz w:val="24"/>
          <w:szCs w:val="24"/>
        </w:rPr>
        <w:t>).</w:t>
      </w:r>
    </w:p>
    <w:p w:rsidR="00440BAB" w:rsidRDefault="00440BAB" w:rsidP="00EA7B6A">
      <w:pPr>
        <w:pStyle w:val="Title"/>
        <w:jc w:val="left"/>
        <w:rPr>
          <w:b w:val="0"/>
          <w:color w:val="000000"/>
          <w:sz w:val="24"/>
          <w:szCs w:val="24"/>
        </w:rPr>
      </w:pPr>
    </w:p>
    <w:p w:rsidR="00EA7B6A" w:rsidRPr="00EA7B6A" w:rsidRDefault="00EA7B6A" w:rsidP="00EA7B6A">
      <w:pPr>
        <w:pStyle w:val="Title"/>
        <w:jc w:val="left"/>
        <w:rPr>
          <w:b w:val="0"/>
          <w:i/>
          <w:sz w:val="24"/>
          <w:szCs w:val="24"/>
        </w:rPr>
      </w:pPr>
      <w:r w:rsidRPr="00EA7B6A">
        <w:rPr>
          <w:b w:val="0"/>
          <w:color w:val="000000"/>
          <w:sz w:val="24"/>
          <w:szCs w:val="24"/>
        </w:rPr>
        <w:t>A detailed operational description of the metabolic syndrome</w:t>
      </w:r>
      <w:r w:rsidR="00C02309">
        <w:rPr>
          <w:b w:val="0"/>
          <w:color w:val="000000"/>
          <w:sz w:val="24"/>
          <w:szCs w:val="24"/>
        </w:rPr>
        <w:t>/cardiometabolic risk</w:t>
      </w:r>
      <w:r w:rsidR="00A73946">
        <w:rPr>
          <w:b w:val="0"/>
          <w:color w:val="000000"/>
          <w:sz w:val="24"/>
          <w:szCs w:val="24"/>
        </w:rPr>
        <w:t xml:space="preserve"> </w:t>
      </w:r>
      <w:r w:rsidRPr="00EA7B6A">
        <w:rPr>
          <w:b w:val="0"/>
          <w:color w:val="000000"/>
          <w:sz w:val="24"/>
          <w:szCs w:val="24"/>
        </w:rPr>
        <w:t xml:space="preserve">clinic is </w:t>
      </w:r>
      <w:r>
        <w:rPr>
          <w:b w:val="0"/>
          <w:color w:val="000000"/>
          <w:sz w:val="24"/>
          <w:szCs w:val="24"/>
        </w:rPr>
        <w:t>described elsewhere (see</w:t>
      </w:r>
      <w:r w:rsidRPr="00EA7B6A">
        <w:rPr>
          <w:b w:val="0"/>
          <w:color w:val="000000"/>
          <w:sz w:val="24"/>
          <w:szCs w:val="24"/>
        </w:rPr>
        <w:t xml:space="preserve"> </w:t>
      </w:r>
      <w:r w:rsidR="00611F50" w:rsidRPr="00EA7B6A">
        <w:rPr>
          <w:b w:val="0"/>
          <w:i/>
          <w:sz w:val="24"/>
          <w:szCs w:val="24"/>
        </w:rPr>
        <w:fldChar w:fldCharType="begin"/>
      </w:r>
      <w:r w:rsidRPr="00EA7B6A">
        <w:rPr>
          <w:b w:val="0"/>
          <w:i/>
          <w:sz w:val="24"/>
          <w:szCs w:val="24"/>
        </w:rPr>
        <w:instrText xml:space="preserve"> SEQ CHAPTER \h \r 1</w:instrText>
      </w:r>
      <w:r w:rsidR="00611F50" w:rsidRPr="00EA7B6A">
        <w:rPr>
          <w:b w:val="0"/>
          <w:i/>
          <w:sz w:val="24"/>
          <w:szCs w:val="24"/>
        </w:rPr>
        <w:fldChar w:fldCharType="end"/>
      </w:r>
      <w:r w:rsidRPr="00EA7B6A">
        <w:rPr>
          <w:b w:val="0"/>
          <w:i/>
          <w:sz w:val="24"/>
          <w:szCs w:val="24"/>
        </w:rPr>
        <w:t>Operational and Clinical Framework Essentials for Developing Metabolic Syndrome</w:t>
      </w:r>
      <w:r w:rsidR="00C02309">
        <w:rPr>
          <w:b w:val="0"/>
          <w:i/>
          <w:sz w:val="24"/>
          <w:szCs w:val="24"/>
        </w:rPr>
        <w:t>/CMR</w:t>
      </w:r>
      <w:r w:rsidRPr="00EA7B6A">
        <w:rPr>
          <w:b w:val="0"/>
          <w:i/>
          <w:sz w:val="24"/>
          <w:szCs w:val="24"/>
        </w:rPr>
        <w:t xml:space="preserve"> Management  Program</w:t>
      </w:r>
      <w:r w:rsidR="000500E0">
        <w:rPr>
          <w:b w:val="0"/>
          <w:i/>
          <w:sz w:val="24"/>
          <w:szCs w:val="24"/>
        </w:rPr>
        <w:t>s</w:t>
      </w:r>
      <w:r w:rsidR="00842E90">
        <w:rPr>
          <w:b w:val="0"/>
          <w:i/>
          <w:sz w:val="24"/>
          <w:szCs w:val="24"/>
        </w:rPr>
        <w:t xml:space="preserve">, </w:t>
      </w:r>
      <w:r w:rsidR="000D0398">
        <w:rPr>
          <w:b w:val="0"/>
          <w:i/>
          <w:sz w:val="24"/>
          <w:szCs w:val="24"/>
        </w:rPr>
        <w:t>6</w:t>
      </w:r>
      <w:r w:rsidR="00552973">
        <w:rPr>
          <w:b w:val="0"/>
          <w:i/>
          <w:sz w:val="24"/>
          <w:szCs w:val="24"/>
        </w:rPr>
        <w:t>th</w:t>
      </w:r>
      <w:r w:rsidR="000500E0">
        <w:rPr>
          <w:b w:val="0"/>
          <w:i/>
          <w:sz w:val="24"/>
          <w:szCs w:val="24"/>
        </w:rPr>
        <w:t xml:space="preserve"> Edition)</w:t>
      </w:r>
      <w:r w:rsidR="004E798F">
        <w:rPr>
          <w:b w:val="0"/>
          <w:i/>
          <w:sz w:val="24"/>
          <w:szCs w:val="24"/>
        </w:rPr>
        <w:t xml:space="preserve">.  </w:t>
      </w:r>
      <w:r w:rsidRPr="00EA7B6A">
        <w:rPr>
          <w:b w:val="0"/>
          <w:i/>
          <w:sz w:val="24"/>
          <w:szCs w:val="24"/>
        </w:rPr>
        <w:t>La Forge, 20</w:t>
      </w:r>
      <w:r w:rsidR="00A35A0C">
        <w:rPr>
          <w:b w:val="0"/>
          <w:i/>
          <w:sz w:val="24"/>
          <w:szCs w:val="24"/>
        </w:rPr>
        <w:t>1</w:t>
      </w:r>
      <w:r w:rsidR="00F51B66">
        <w:rPr>
          <w:b w:val="0"/>
          <w:i/>
          <w:sz w:val="24"/>
          <w:szCs w:val="24"/>
        </w:rPr>
        <w:t>5</w:t>
      </w:r>
      <w:r w:rsidRPr="00EA7B6A">
        <w:rPr>
          <w:b w:val="0"/>
          <w:sz w:val="24"/>
          <w:szCs w:val="24"/>
        </w:rPr>
        <w:t>.</w:t>
      </w:r>
      <w:r w:rsidR="00440BAB">
        <w:rPr>
          <w:b w:val="0"/>
          <w:sz w:val="24"/>
          <w:szCs w:val="24"/>
        </w:rPr>
        <w:t xml:space="preserve"> – contact Ralph La Forg</w:t>
      </w:r>
      <w:r w:rsidR="009E4F94">
        <w:rPr>
          <w:b w:val="0"/>
          <w:sz w:val="24"/>
          <w:szCs w:val="24"/>
        </w:rPr>
        <w:t xml:space="preserve">e at </w:t>
      </w:r>
      <w:hyperlink r:id="rId18" w:history="1">
        <w:r w:rsidR="007E4D64" w:rsidRPr="00B431E4">
          <w:rPr>
            <w:rStyle w:val="Hyperlink"/>
            <w:b w:val="0"/>
            <w:i/>
            <w:sz w:val="24"/>
            <w:szCs w:val="24"/>
          </w:rPr>
          <w:t>rlaforge@nc.rr.com</w:t>
        </w:r>
      </w:hyperlink>
      <w:r w:rsidR="007E4D64">
        <w:rPr>
          <w:b w:val="0"/>
          <w:i/>
          <w:sz w:val="24"/>
          <w:szCs w:val="24"/>
        </w:rPr>
        <w:t xml:space="preserve"> </w:t>
      </w:r>
      <w:r w:rsidR="007E4D64" w:rsidRPr="007E4D64">
        <w:rPr>
          <w:b w:val="0"/>
          <w:sz w:val="24"/>
          <w:szCs w:val="24"/>
        </w:rPr>
        <w:t>regarding the Lipid and CMR</w:t>
      </w:r>
      <w:r w:rsidR="007E4D64">
        <w:rPr>
          <w:b w:val="0"/>
          <w:sz w:val="24"/>
          <w:szCs w:val="24"/>
        </w:rPr>
        <w:t>P</w:t>
      </w:r>
      <w:r w:rsidR="007E4D64" w:rsidRPr="007E4D64">
        <w:rPr>
          <w:b w:val="0"/>
          <w:sz w:val="24"/>
          <w:szCs w:val="24"/>
        </w:rPr>
        <w:t xml:space="preserve"> staff in-service</w:t>
      </w:r>
      <w:r>
        <w:rPr>
          <w:b w:val="0"/>
          <w:sz w:val="24"/>
          <w:szCs w:val="24"/>
        </w:rPr>
        <w:t>.</w:t>
      </w:r>
    </w:p>
    <w:p w:rsidR="00AE3081" w:rsidRDefault="00611F50" w:rsidP="009C6642">
      <w:pPr>
        <w:tabs>
          <w:tab w:val="center" w:pos="4770"/>
        </w:tabs>
        <w:jc w:val="both"/>
        <w:rPr>
          <w:b/>
          <w:sz w:val="32"/>
        </w:rPr>
      </w:pPr>
      <w:r>
        <w:fldChar w:fldCharType="begin"/>
      </w:r>
      <w:r w:rsidR="00154701">
        <w:instrText xml:space="preserve"> SEQ CHAPTER \h \r 1</w:instrText>
      </w:r>
      <w:r>
        <w:fldChar w:fldCharType="end"/>
      </w:r>
    </w:p>
    <w:p w:rsidR="005053C9" w:rsidRDefault="005053C9" w:rsidP="00B34307">
      <w:pPr>
        <w:rPr>
          <w:rFonts w:ascii="Times New Roman" w:hAnsi="Times New Roman"/>
        </w:rPr>
      </w:pPr>
    </w:p>
    <w:p w:rsidR="00B34307" w:rsidRPr="009C6642" w:rsidRDefault="004753B6" w:rsidP="00B34307">
      <w:pPr>
        <w:rPr>
          <w:rFonts w:ascii="Times New Roman" w:hAnsi="Times New Roman"/>
        </w:rPr>
      </w:pPr>
      <w:r>
        <w:rPr>
          <w:rFonts w:ascii="Times New Roman" w:hAnsi="Times New Roman"/>
        </w:rPr>
        <w:t>11</w:t>
      </w:r>
      <w:r w:rsidR="00F51B66">
        <w:rPr>
          <w:rFonts w:ascii="Times New Roman" w:hAnsi="Times New Roman"/>
        </w:rPr>
        <w:t>/15</w:t>
      </w:r>
    </w:p>
    <w:sectPr w:rsidR="00B34307" w:rsidRPr="009C6642" w:rsidSect="00443820">
      <w:footerReference w:type="default" r:id="rId19"/>
      <w:footnotePr>
        <w:numFmt w:val="lowerLetter"/>
      </w:footnotePr>
      <w:endnotePr>
        <w:numFmt w:val="lowerLetter"/>
      </w:endnotePr>
      <w:type w:val="continuous"/>
      <w:pgSz w:w="12240" w:h="15840"/>
      <w:pgMar w:top="1440" w:right="1440" w:bottom="990" w:left="1440" w:header="144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691" w:rsidRDefault="00097691">
      <w:r>
        <w:separator/>
      </w:r>
    </w:p>
  </w:endnote>
  <w:endnote w:type="continuationSeparator" w:id="0">
    <w:p w:rsidR="00097691" w:rsidRDefault="0009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F53" w:rsidRDefault="00477F53">
    <w:pPr>
      <w:spacing w:line="240" w:lineRule="exact"/>
    </w:pPr>
  </w:p>
  <w:p w:rsidR="00477F53" w:rsidRDefault="00611F50">
    <w:pPr>
      <w:framePr w:w="9361" w:wrap="notBeside" w:vAnchor="text" w:hAnchor="text" w:x="1" w:y="1"/>
      <w:jc w:val="center"/>
    </w:pPr>
    <w:r>
      <w:fldChar w:fldCharType="begin"/>
    </w:r>
    <w:r w:rsidR="00437384">
      <w:instrText xml:space="preserve">PAGE </w:instrText>
    </w:r>
    <w:r>
      <w:fldChar w:fldCharType="separate"/>
    </w:r>
    <w:r w:rsidR="0003341A">
      <w:rPr>
        <w:noProof/>
      </w:rPr>
      <w:t>2</w:t>
    </w:r>
    <w:r>
      <w:rPr>
        <w:noProof/>
      </w:rPr>
      <w:fldChar w:fldCharType="end"/>
    </w:r>
  </w:p>
  <w:p w:rsidR="00477F53" w:rsidRDefault="00477F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691" w:rsidRDefault="00097691">
      <w:r>
        <w:separator/>
      </w:r>
    </w:p>
  </w:footnote>
  <w:footnote w:type="continuationSeparator" w:id="0">
    <w:p w:rsidR="00097691" w:rsidRDefault="00097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3395"/>
    <w:multiLevelType w:val="hybridMultilevel"/>
    <w:tmpl w:val="362ED456"/>
    <w:lvl w:ilvl="0" w:tplc="7346AA58">
      <w:start w:val="1"/>
      <w:numFmt w:val="bullet"/>
      <w:lvlText w:val="•"/>
      <w:lvlJc w:val="left"/>
      <w:pPr>
        <w:tabs>
          <w:tab w:val="num" w:pos="720"/>
        </w:tabs>
        <w:ind w:left="720" w:hanging="360"/>
      </w:pPr>
      <w:rPr>
        <w:rFonts w:ascii="Arial" w:hAnsi="Arial" w:hint="default"/>
      </w:rPr>
    </w:lvl>
    <w:lvl w:ilvl="1" w:tplc="79C04218" w:tentative="1">
      <w:start w:val="1"/>
      <w:numFmt w:val="bullet"/>
      <w:lvlText w:val="•"/>
      <w:lvlJc w:val="left"/>
      <w:pPr>
        <w:tabs>
          <w:tab w:val="num" w:pos="1440"/>
        </w:tabs>
        <w:ind w:left="1440" w:hanging="360"/>
      </w:pPr>
      <w:rPr>
        <w:rFonts w:ascii="Arial" w:hAnsi="Arial" w:hint="default"/>
      </w:rPr>
    </w:lvl>
    <w:lvl w:ilvl="2" w:tplc="15DCEC22" w:tentative="1">
      <w:start w:val="1"/>
      <w:numFmt w:val="bullet"/>
      <w:lvlText w:val="•"/>
      <w:lvlJc w:val="left"/>
      <w:pPr>
        <w:tabs>
          <w:tab w:val="num" w:pos="2160"/>
        </w:tabs>
        <w:ind w:left="2160" w:hanging="360"/>
      </w:pPr>
      <w:rPr>
        <w:rFonts w:ascii="Arial" w:hAnsi="Arial" w:hint="default"/>
      </w:rPr>
    </w:lvl>
    <w:lvl w:ilvl="3" w:tplc="64125C58" w:tentative="1">
      <w:start w:val="1"/>
      <w:numFmt w:val="bullet"/>
      <w:lvlText w:val="•"/>
      <w:lvlJc w:val="left"/>
      <w:pPr>
        <w:tabs>
          <w:tab w:val="num" w:pos="2880"/>
        </w:tabs>
        <w:ind w:left="2880" w:hanging="360"/>
      </w:pPr>
      <w:rPr>
        <w:rFonts w:ascii="Arial" w:hAnsi="Arial" w:hint="default"/>
      </w:rPr>
    </w:lvl>
    <w:lvl w:ilvl="4" w:tplc="1F60F1D2" w:tentative="1">
      <w:start w:val="1"/>
      <w:numFmt w:val="bullet"/>
      <w:lvlText w:val="•"/>
      <w:lvlJc w:val="left"/>
      <w:pPr>
        <w:tabs>
          <w:tab w:val="num" w:pos="3600"/>
        </w:tabs>
        <w:ind w:left="3600" w:hanging="360"/>
      </w:pPr>
      <w:rPr>
        <w:rFonts w:ascii="Arial" w:hAnsi="Arial" w:hint="default"/>
      </w:rPr>
    </w:lvl>
    <w:lvl w:ilvl="5" w:tplc="B03458B8" w:tentative="1">
      <w:start w:val="1"/>
      <w:numFmt w:val="bullet"/>
      <w:lvlText w:val="•"/>
      <w:lvlJc w:val="left"/>
      <w:pPr>
        <w:tabs>
          <w:tab w:val="num" w:pos="4320"/>
        </w:tabs>
        <w:ind w:left="4320" w:hanging="360"/>
      </w:pPr>
      <w:rPr>
        <w:rFonts w:ascii="Arial" w:hAnsi="Arial" w:hint="default"/>
      </w:rPr>
    </w:lvl>
    <w:lvl w:ilvl="6" w:tplc="1338B8D8" w:tentative="1">
      <w:start w:val="1"/>
      <w:numFmt w:val="bullet"/>
      <w:lvlText w:val="•"/>
      <w:lvlJc w:val="left"/>
      <w:pPr>
        <w:tabs>
          <w:tab w:val="num" w:pos="5040"/>
        </w:tabs>
        <w:ind w:left="5040" w:hanging="360"/>
      </w:pPr>
      <w:rPr>
        <w:rFonts w:ascii="Arial" w:hAnsi="Arial" w:hint="default"/>
      </w:rPr>
    </w:lvl>
    <w:lvl w:ilvl="7" w:tplc="E250CE24" w:tentative="1">
      <w:start w:val="1"/>
      <w:numFmt w:val="bullet"/>
      <w:lvlText w:val="•"/>
      <w:lvlJc w:val="left"/>
      <w:pPr>
        <w:tabs>
          <w:tab w:val="num" w:pos="5760"/>
        </w:tabs>
        <w:ind w:left="5760" w:hanging="360"/>
      </w:pPr>
      <w:rPr>
        <w:rFonts w:ascii="Arial" w:hAnsi="Arial" w:hint="default"/>
      </w:rPr>
    </w:lvl>
    <w:lvl w:ilvl="8" w:tplc="ECC294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1942AC"/>
    <w:multiLevelType w:val="hybridMultilevel"/>
    <w:tmpl w:val="0F2A1D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D4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CE5C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510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12624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1EF8437C"/>
    <w:multiLevelType w:val="hybridMultilevel"/>
    <w:tmpl w:val="227687A0"/>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8" w15:restartNumberingAfterBreak="0">
    <w:nsid w:val="205644B5"/>
    <w:multiLevelType w:val="hybridMultilevel"/>
    <w:tmpl w:val="FC527AC2"/>
    <w:lvl w:ilvl="0" w:tplc="04090001">
      <w:start w:val="1"/>
      <w:numFmt w:val="bullet"/>
      <w:lvlText w:val=""/>
      <w:lvlJc w:val="left"/>
      <w:pPr>
        <w:tabs>
          <w:tab w:val="num" w:pos="1215"/>
        </w:tabs>
        <w:ind w:left="1215" w:hanging="360"/>
      </w:pPr>
      <w:rPr>
        <w:rFonts w:ascii="Symbol" w:hAnsi="Symbol"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9" w15:restartNumberingAfterBreak="0">
    <w:nsid w:val="2515485A"/>
    <w:multiLevelType w:val="singleLevel"/>
    <w:tmpl w:val="04090017"/>
    <w:lvl w:ilvl="0">
      <w:start w:val="5"/>
      <w:numFmt w:val="lowerLetter"/>
      <w:lvlText w:val="%1)"/>
      <w:lvlJc w:val="left"/>
      <w:pPr>
        <w:tabs>
          <w:tab w:val="num" w:pos="360"/>
        </w:tabs>
        <w:ind w:left="360" w:hanging="360"/>
      </w:pPr>
      <w:rPr>
        <w:rFonts w:hint="default"/>
      </w:rPr>
    </w:lvl>
  </w:abstractNum>
  <w:abstractNum w:abstractNumId="10" w15:restartNumberingAfterBreak="0">
    <w:nsid w:val="25A72ECE"/>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35F66FC7"/>
    <w:multiLevelType w:val="hybridMultilevel"/>
    <w:tmpl w:val="09BCED46"/>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2" w15:restartNumberingAfterBreak="0">
    <w:nsid w:val="36F35872"/>
    <w:multiLevelType w:val="hybridMultilevel"/>
    <w:tmpl w:val="B5B0B7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0471D68"/>
    <w:multiLevelType w:val="hybridMultilevel"/>
    <w:tmpl w:val="C21655A4"/>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14" w15:restartNumberingAfterBreak="0">
    <w:nsid w:val="41755FDF"/>
    <w:multiLevelType w:val="hybridMultilevel"/>
    <w:tmpl w:val="8CC61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21B3B"/>
    <w:multiLevelType w:val="hybridMultilevel"/>
    <w:tmpl w:val="E898BF88"/>
    <w:lvl w:ilvl="0" w:tplc="772657D4">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CC388C"/>
    <w:multiLevelType w:val="hybridMultilevel"/>
    <w:tmpl w:val="AC56CC84"/>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7" w15:restartNumberingAfterBreak="0">
    <w:nsid w:val="4D463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DE2582"/>
    <w:multiLevelType w:val="hybridMultilevel"/>
    <w:tmpl w:val="5D4E058E"/>
    <w:lvl w:ilvl="0" w:tplc="B048271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434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6507520"/>
    <w:multiLevelType w:val="hybridMultilevel"/>
    <w:tmpl w:val="15DE5660"/>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1" w15:restartNumberingAfterBreak="0">
    <w:nsid w:val="58337468"/>
    <w:multiLevelType w:val="hybridMultilevel"/>
    <w:tmpl w:val="F48C5006"/>
    <w:lvl w:ilvl="0" w:tplc="86C6EC06">
      <w:start w:val="1"/>
      <w:numFmt w:val="decimal"/>
      <w:lvlText w:val="%1."/>
      <w:lvlJc w:val="left"/>
      <w:pPr>
        <w:tabs>
          <w:tab w:val="num" w:pos="720"/>
        </w:tabs>
        <w:ind w:left="720" w:hanging="360"/>
      </w:pPr>
    </w:lvl>
    <w:lvl w:ilvl="1" w:tplc="3F0E4B96" w:tentative="1">
      <w:start w:val="1"/>
      <w:numFmt w:val="decimal"/>
      <w:lvlText w:val="%2."/>
      <w:lvlJc w:val="left"/>
      <w:pPr>
        <w:tabs>
          <w:tab w:val="num" w:pos="1440"/>
        </w:tabs>
        <w:ind w:left="1440" w:hanging="360"/>
      </w:pPr>
    </w:lvl>
    <w:lvl w:ilvl="2" w:tplc="0868BB14" w:tentative="1">
      <w:start w:val="1"/>
      <w:numFmt w:val="decimal"/>
      <w:lvlText w:val="%3."/>
      <w:lvlJc w:val="left"/>
      <w:pPr>
        <w:tabs>
          <w:tab w:val="num" w:pos="2160"/>
        </w:tabs>
        <w:ind w:left="2160" w:hanging="360"/>
      </w:pPr>
    </w:lvl>
    <w:lvl w:ilvl="3" w:tplc="9C68D95E" w:tentative="1">
      <w:start w:val="1"/>
      <w:numFmt w:val="decimal"/>
      <w:lvlText w:val="%4."/>
      <w:lvlJc w:val="left"/>
      <w:pPr>
        <w:tabs>
          <w:tab w:val="num" w:pos="2880"/>
        </w:tabs>
        <w:ind w:left="2880" w:hanging="360"/>
      </w:pPr>
    </w:lvl>
    <w:lvl w:ilvl="4" w:tplc="77B0402E" w:tentative="1">
      <w:start w:val="1"/>
      <w:numFmt w:val="decimal"/>
      <w:lvlText w:val="%5."/>
      <w:lvlJc w:val="left"/>
      <w:pPr>
        <w:tabs>
          <w:tab w:val="num" w:pos="3600"/>
        </w:tabs>
        <w:ind w:left="3600" w:hanging="360"/>
      </w:pPr>
    </w:lvl>
    <w:lvl w:ilvl="5" w:tplc="AD506BDE" w:tentative="1">
      <w:start w:val="1"/>
      <w:numFmt w:val="decimal"/>
      <w:lvlText w:val="%6."/>
      <w:lvlJc w:val="left"/>
      <w:pPr>
        <w:tabs>
          <w:tab w:val="num" w:pos="4320"/>
        </w:tabs>
        <w:ind w:left="4320" w:hanging="360"/>
      </w:pPr>
    </w:lvl>
    <w:lvl w:ilvl="6" w:tplc="AC2A7582" w:tentative="1">
      <w:start w:val="1"/>
      <w:numFmt w:val="decimal"/>
      <w:lvlText w:val="%7."/>
      <w:lvlJc w:val="left"/>
      <w:pPr>
        <w:tabs>
          <w:tab w:val="num" w:pos="5040"/>
        </w:tabs>
        <w:ind w:left="5040" w:hanging="360"/>
      </w:pPr>
    </w:lvl>
    <w:lvl w:ilvl="7" w:tplc="93049E90" w:tentative="1">
      <w:start w:val="1"/>
      <w:numFmt w:val="decimal"/>
      <w:lvlText w:val="%8."/>
      <w:lvlJc w:val="left"/>
      <w:pPr>
        <w:tabs>
          <w:tab w:val="num" w:pos="5760"/>
        </w:tabs>
        <w:ind w:left="5760" w:hanging="360"/>
      </w:pPr>
    </w:lvl>
    <w:lvl w:ilvl="8" w:tplc="7B9A1F16" w:tentative="1">
      <w:start w:val="1"/>
      <w:numFmt w:val="decimal"/>
      <w:lvlText w:val="%9."/>
      <w:lvlJc w:val="left"/>
      <w:pPr>
        <w:tabs>
          <w:tab w:val="num" w:pos="6480"/>
        </w:tabs>
        <w:ind w:left="6480" w:hanging="360"/>
      </w:pPr>
    </w:lvl>
  </w:abstractNum>
  <w:abstractNum w:abstractNumId="22" w15:restartNumberingAfterBreak="0">
    <w:nsid w:val="58A56E77"/>
    <w:multiLevelType w:val="singleLevel"/>
    <w:tmpl w:val="0409000F"/>
    <w:lvl w:ilvl="0">
      <w:start w:val="1"/>
      <w:numFmt w:val="decimal"/>
      <w:lvlText w:val="%1."/>
      <w:lvlJc w:val="left"/>
      <w:pPr>
        <w:tabs>
          <w:tab w:val="num" w:pos="720"/>
        </w:tabs>
        <w:ind w:left="720" w:hanging="360"/>
      </w:pPr>
      <w:rPr>
        <w:rFonts w:hint="default"/>
      </w:rPr>
    </w:lvl>
  </w:abstractNum>
  <w:abstractNum w:abstractNumId="23" w15:restartNumberingAfterBreak="0">
    <w:nsid w:val="71FB08EA"/>
    <w:multiLevelType w:val="hybridMultilevel"/>
    <w:tmpl w:val="237A7EA2"/>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4" w15:restartNumberingAfterBreak="0">
    <w:nsid w:val="72393F5A"/>
    <w:multiLevelType w:val="singleLevel"/>
    <w:tmpl w:val="4A724490"/>
    <w:lvl w:ilvl="0">
      <w:start w:val="5"/>
      <w:numFmt w:val="lowerLetter"/>
      <w:lvlText w:val="%1)"/>
      <w:lvlJc w:val="left"/>
      <w:pPr>
        <w:tabs>
          <w:tab w:val="num" w:pos="420"/>
        </w:tabs>
        <w:ind w:left="420" w:hanging="360"/>
      </w:pPr>
      <w:rPr>
        <w:rFonts w:hint="default"/>
      </w:rPr>
    </w:lvl>
  </w:abstractNum>
  <w:abstractNum w:abstractNumId="25" w15:restartNumberingAfterBreak="0">
    <w:nsid w:val="72E924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09490C"/>
    <w:multiLevelType w:val="hybridMultilevel"/>
    <w:tmpl w:val="AE64E49A"/>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7" w15:restartNumberingAfterBreak="0">
    <w:nsid w:val="75662B09"/>
    <w:multiLevelType w:val="hybridMultilevel"/>
    <w:tmpl w:val="1FF07BA0"/>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8" w15:restartNumberingAfterBreak="0">
    <w:nsid w:val="79C7222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9"/>
  </w:num>
  <w:num w:numId="3">
    <w:abstractNumId w:val="10"/>
  </w:num>
  <w:num w:numId="4">
    <w:abstractNumId w:val="0"/>
    <w:lvlOverride w:ilvl="0">
      <w:lvl w:ilvl="0">
        <w:numFmt w:val="bullet"/>
        <w:lvlText w:val="•"/>
        <w:legacy w:legacy="1" w:legacySpace="0" w:legacyIndent="0"/>
        <w:lvlJc w:val="left"/>
        <w:rPr>
          <w:rFonts w:ascii="Trebuchet MS" w:hAnsi="Trebuchet MS" w:hint="default"/>
          <w:sz w:val="48"/>
        </w:rPr>
      </w:lvl>
    </w:lvlOverride>
  </w:num>
  <w:num w:numId="5">
    <w:abstractNumId w:val="22"/>
  </w:num>
  <w:num w:numId="6">
    <w:abstractNumId w:val="5"/>
  </w:num>
  <w:num w:numId="7">
    <w:abstractNumId w:val="25"/>
  </w:num>
  <w:num w:numId="8">
    <w:abstractNumId w:val="4"/>
  </w:num>
  <w:num w:numId="9">
    <w:abstractNumId w:val="28"/>
  </w:num>
  <w:num w:numId="10">
    <w:abstractNumId w:val="6"/>
  </w:num>
  <w:num w:numId="11">
    <w:abstractNumId w:val="17"/>
  </w:num>
  <w:num w:numId="12">
    <w:abstractNumId w:val="19"/>
  </w:num>
  <w:num w:numId="13">
    <w:abstractNumId w:val="3"/>
  </w:num>
  <w:num w:numId="14">
    <w:abstractNumId w:val="23"/>
  </w:num>
  <w:num w:numId="15">
    <w:abstractNumId w:val="20"/>
  </w:num>
  <w:num w:numId="16">
    <w:abstractNumId w:val="27"/>
  </w:num>
  <w:num w:numId="17">
    <w:abstractNumId w:val="8"/>
  </w:num>
  <w:num w:numId="18">
    <w:abstractNumId w:val="26"/>
  </w:num>
  <w:num w:numId="19">
    <w:abstractNumId w:val="16"/>
  </w:num>
  <w:num w:numId="20">
    <w:abstractNumId w:val="11"/>
  </w:num>
  <w:num w:numId="21">
    <w:abstractNumId w:val="7"/>
  </w:num>
  <w:num w:numId="22">
    <w:abstractNumId w:val="13"/>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2"/>
  </w:num>
  <w:num w:numId="36">
    <w:abstractNumId w:val="2"/>
  </w:num>
  <w:num w:numId="37">
    <w:abstractNumId w:val="15"/>
  </w:num>
  <w:num w:numId="38">
    <w:abstractNumId w:val="21"/>
  </w:num>
  <w:num w:numId="39">
    <w:abstractNumId w:val="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83"/>
    <w:rsid w:val="00001A95"/>
    <w:rsid w:val="00007167"/>
    <w:rsid w:val="00007EE9"/>
    <w:rsid w:val="0001215A"/>
    <w:rsid w:val="00014702"/>
    <w:rsid w:val="0002445B"/>
    <w:rsid w:val="0003341A"/>
    <w:rsid w:val="00035F46"/>
    <w:rsid w:val="000360FB"/>
    <w:rsid w:val="000500E0"/>
    <w:rsid w:val="000638A3"/>
    <w:rsid w:val="00064881"/>
    <w:rsid w:val="00072145"/>
    <w:rsid w:val="00072F05"/>
    <w:rsid w:val="0007485B"/>
    <w:rsid w:val="00076B97"/>
    <w:rsid w:val="00084B0A"/>
    <w:rsid w:val="00086B72"/>
    <w:rsid w:val="00094C6F"/>
    <w:rsid w:val="000963B0"/>
    <w:rsid w:val="00097691"/>
    <w:rsid w:val="000A0576"/>
    <w:rsid w:val="000A078B"/>
    <w:rsid w:val="000A7FDB"/>
    <w:rsid w:val="000B2A81"/>
    <w:rsid w:val="000B2CF4"/>
    <w:rsid w:val="000B30FC"/>
    <w:rsid w:val="000B337A"/>
    <w:rsid w:val="000B34CB"/>
    <w:rsid w:val="000B361B"/>
    <w:rsid w:val="000C128D"/>
    <w:rsid w:val="000C21D0"/>
    <w:rsid w:val="000D0398"/>
    <w:rsid w:val="000D338A"/>
    <w:rsid w:val="000D36FF"/>
    <w:rsid w:val="000D5DA4"/>
    <w:rsid w:val="000E0B95"/>
    <w:rsid w:val="000E1491"/>
    <w:rsid w:val="000E18EE"/>
    <w:rsid w:val="000E49AA"/>
    <w:rsid w:val="000E7155"/>
    <w:rsid w:val="000F305C"/>
    <w:rsid w:val="000F4EB5"/>
    <w:rsid w:val="000F5B31"/>
    <w:rsid w:val="000F6F8B"/>
    <w:rsid w:val="001048A1"/>
    <w:rsid w:val="00112A1E"/>
    <w:rsid w:val="00113C79"/>
    <w:rsid w:val="0012075D"/>
    <w:rsid w:val="00121565"/>
    <w:rsid w:val="00133243"/>
    <w:rsid w:val="00133AEB"/>
    <w:rsid w:val="0013799E"/>
    <w:rsid w:val="00141235"/>
    <w:rsid w:val="00141F43"/>
    <w:rsid w:val="001462E3"/>
    <w:rsid w:val="00153149"/>
    <w:rsid w:val="00154701"/>
    <w:rsid w:val="0015662E"/>
    <w:rsid w:val="00157E66"/>
    <w:rsid w:val="00161CEB"/>
    <w:rsid w:val="00164BAF"/>
    <w:rsid w:val="00166874"/>
    <w:rsid w:val="001810A8"/>
    <w:rsid w:val="00186CA3"/>
    <w:rsid w:val="001879B2"/>
    <w:rsid w:val="001932ED"/>
    <w:rsid w:val="00194E03"/>
    <w:rsid w:val="00196921"/>
    <w:rsid w:val="001A0B97"/>
    <w:rsid w:val="001A200A"/>
    <w:rsid w:val="001A577E"/>
    <w:rsid w:val="001B30D4"/>
    <w:rsid w:val="001B51A5"/>
    <w:rsid w:val="001C6B2F"/>
    <w:rsid w:val="001D2148"/>
    <w:rsid w:val="001D2F0C"/>
    <w:rsid w:val="001D5615"/>
    <w:rsid w:val="001E3D75"/>
    <w:rsid w:val="001E7DCB"/>
    <w:rsid w:val="001F091F"/>
    <w:rsid w:val="001F134A"/>
    <w:rsid w:val="001F2ABB"/>
    <w:rsid w:val="002039A7"/>
    <w:rsid w:val="00205317"/>
    <w:rsid w:val="002309CB"/>
    <w:rsid w:val="00232D8C"/>
    <w:rsid w:val="00250AB5"/>
    <w:rsid w:val="002530AC"/>
    <w:rsid w:val="002542BF"/>
    <w:rsid w:val="002614D3"/>
    <w:rsid w:val="0027377B"/>
    <w:rsid w:val="002739FC"/>
    <w:rsid w:val="00275A26"/>
    <w:rsid w:val="00283413"/>
    <w:rsid w:val="002854F3"/>
    <w:rsid w:val="00291DC6"/>
    <w:rsid w:val="002964A5"/>
    <w:rsid w:val="002971BE"/>
    <w:rsid w:val="002A0AFB"/>
    <w:rsid w:val="002A5AE5"/>
    <w:rsid w:val="002A5CE8"/>
    <w:rsid w:val="002B668B"/>
    <w:rsid w:val="002C0413"/>
    <w:rsid w:val="002C1173"/>
    <w:rsid w:val="002D4216"/>
    <w:rsid w:val="002E3422"/>
    <w:rsid w:val="002F1016"/>
    <w:rsid w:val="003042FC"/>
    <w:rsid w:val="00305CD3"/>
    <w:rsid w:val="00312894"/>
    <w:rsid w:val="00321F37"/>
    <w:rsid w:val="003270DF"/>
    <w:rsid w:val="00333FEE"/>
    <w:rsid w:val="003412B3"/>
    <w:rsid w:val="003445E6"/>
    <w:rsid w:val="003549FE"/>
    <w:rsid w:val="00355A12"/>
    <w:rsid w:val="00356BFE"/>
    <w:rsid w:val="00364E5A"/>
    <w:rsid w:val="003652F5"/>
    <w:rsid w:val="00367F86"/>
    <w:rsid w:val="003705B7"/>
    <w:rsid w:val="003779F9"/>
    <w:rsid w:val="003827B0"/>
    <w:rsid w:val="003827D3"/>
    <w:rsid w:val="00383DB0"/>
    <w:rsid w:val="003866EE"/>
    <w:rsid w:val="00394106"/>
    <w:rsid w:val="003956E0"/>
    <w:rsid w:val="003A265D"/>
    <w:rsid w:val="003A4B0E"/>
    <w:rsid w:val="003A72AD"/>
    <w:rsid w:val="003C00CF"/>
    <w:rsid w:val="003C7964"/>
    <w:rsid w:val="003D719E"/>
    <w:rsid w:val="003E06A4"/>
    <w:rsid w:val="003E17DB"/>
    <w:rsid w:val="003E517D"/>
    <w:rsid w:val="003E7148"/>
    <w:rsid w:val="003F0F12"/>
    <w:rsid w:val="003F4C8C"/>
    <w:rsid w:val="00407EAF"/>
    <w:rsid w:val="00413E50"/>
    <w:rsid w:val="00422194"/>
    <w:rsid w:val="004347F5"/>
    <w:rsid w:val="00435D10"/>
    <w:rsid w:val="00437384"/>
    <w:rsid w:val="00440BAB"/>
    <w:rsid w:val="00442AFE"/>
    <w:rsid w:val="00443820"/>
    <w:rsid w:val="0044505A"/>
    <w:rsid w:val="00452694"/>
    <w:rsid w:val="00454838"/>
    <w:rsid w:val="004575BD"/>
    <w:rsid w:val="00457F0E"/>
    <w:rsid w:val="00461108"/>
    <w:rsid w:val="00465B08"/>
    <w:rsid w:val="00467DD7"/>
    <w:rsid w:val="00470D4D"/>
    <w:rsid w:val="00472F64"/>
    <w:rsid w:val="004753B6"/>
    <w:rsid w:val="00477F53"/>
    <w:rsid w:val="00477F8D"/>
    <w:rsid w:val="00481D69"/>
    <w:rsid w:val="00482F81"/>
    <w:rsid w:val="00484E2D"/>
    <w:rsid w:val="00485648"/>
    <w:rsid w:val="004941D5"/>
    <w:rsid w:val="004A1B05"/>
    <w:rsid w:val="004A335C"/>
    <w:rsid w:val="004B5494"/>
    <w:rsid w:val="004D5700"/>
    <w:rsid w:val="004D5B90"/>
    <w:rsid w:val="004E6A63"/>
    <w:rsid w:val="004E798F"/>
    <w:rsid w:val="004F1E64"/>
    <w:rsid w:val="004F2041"/>
    <w:rsid w:val="005053C9"/>
    <w:rsid w:val="00507847"/>
    <w:rsid w:val="00510FAD"/>
    <w:rsid w:val="00521EE6"/>
    <w:rsid w:val="00522AF7"/>
    <w:rsid w:val="00525381"/>
    <w:rsid w:val="00526DB0"/>
    <w:rsid w:val="00531DC4"/>
    <w:rsid w:val="005323DB"/>
    <w:rsid w:val="00536F3F"/>
    <w:rsid w:val="00537C26"/>
    <w:rsid w:val="00537F17"/>
    <w:rsid w:val="0054265D"/>
    <w:rsid w:val="00542746"/>
    <w:rsid w:val="00542C47"/>
    <w:rsid w:val="00542DF6"/>
    <w:rsid w:val="00547BB5"/>
    <w:rsid w:val="00552973"/>
    <w:rsid w:val="00552EA9"/>
    <w:rsid w:val="00553A78"/>
    <w:rsid w:val="00555794"/>
    <w:rsid w:val="0056286D"/>
    <w:rsid w:val="005654BC"/>
    <w:rsid w:val="00570A08"/>
    <w:rsid w:val="00573A39"/>
    <w:rsid w:val="00575076"/>
    <w:rsid w:val="00580DED"/>
    <w:rsid w:val="00584B98"/>
    <w:rsid w:val="005A07DB"/>
    <w:rsid w:val="005A5D70"/>
    <w:rsid w:val="005B01C9"/>
    <w:rsid w:val="005B1C55"/>
    <w:rsid w:val="005C35EE"/>
    <w:rsid w:val="005C3D3B"/>
    <w:rsid w:val="005C74D3"/>
    <w:rsid w:val="005C7E80"/>
    <w:rsid w:val="005D05CF"/>
    <w:rsid w:val="005D2702"/>
    <w:rsid w:val="005D3F65"/>
    <w:rsid w:val="005D6798"/>
    <w:rsid w:val="005E0A32"/>
    <w:rsid w:val="005E23F0"/>
    <w:rsid w:val="005E660D"/>
    <w:rsid w:val="005E75B4"/>
    <w:rsid w:val="005F3CBE"/>
    <w:rsid w:val="005F4CCC"/>
    <w:rsid w:val="005F6AAD"/>
    <w:rsid w:val="006006EA"/>
    <w:rsid w:val="00601DB1"/>
    <w:rsid w:val="00611F50"/>
    <w:rsid w:val="006152A4"/>
    <w:rsid w:val="0062024D"/>
    <w:rsid w:val="00621BB5"/>
    <w:rsid w:val="00623972"/>
    <w:rsid w:val="00624C21"/>
    <w:rsid w:val="00624E3D"/>
    <w:rsid w:val="006250B0"/>
    <w:rsid w:val="006260D6"/>
    <w:rsid w:val="006274BB"/>
    <w:rsid w:val="006337DC"/>
    <w:rsid w:val="006452CB"/>
    <w:rsid w:val="006560AE"/>
    <w:rsid w:val="00660478"/>
    <w:rsid w:val="006663DE"/>
    <w:rsid w:val="006706D2"/>
    <w:rsid w:val="00673C5D"/>
    <w:rsid w:val="00685206"/>
    <w:rsid w:val="00687DEE"/>
    <w:rsid w:val="006943C4"/>
    <w:rsid w:val="006A257D"/>
    <w:rsid w:val="006A4391"/>
    <w:rsid w:val="006A77ED"/>
    <w:rsid w:val="006B1BA1"/>
    <w:rsid w:val="006B2131"/>
    <w:rsid w:val="006B440B"/>
    <w:rsid w:val="006C326D"/>
    <w:rsid w:val="006D4E11"/>
    <w:rsid w:val="006D68DB"/>
    <w:rsid w:val="006E2539"/>
    <w:rsid w:val="006E5B6B"/>
    <w:rsid w:val="006F0A33"/>
    <w:rsid w:val="006F505B"/>
    <w:rsid w:val="00700822"/>
    <w:rsid w:val="007025E8"/>
    <w:rsid w:val="00711F3B"/>
    <w:rsid w:val="00732281"/>
    <w:rsid w:val="00736FAF"/>
    <w:rsid w:val="00740210"/>
    <w:rsid w:val="0074235D"/>
    <w:rsid w:val="00744187"/>
    <w:rsid w:val="00745E36"/>
    <w:rsid w:val="00751855"/>
    <w:rsid w:val="00754C3D"/>
    <w:rsid w:val="00756210"/>
    <w:rsid w:val="0075793E"/>
    <w:rsid w:val="00757FB4"/>
    <w:rsid w:val="007613BF"/>
    <w:rsid w:val="00762821"/>
    <w:rsid w:val="00775FB0"/>
    <w:rsid w:val="00776EF4"/>
    <w:rsid w:val="00786EF8"/>
    <w:rsid w:val="00787DDB"/>
    <w:rsid w:val="00790342"/>
    <w:rsid w:val="00795E43"/>
    <w:rsid w:val="007A04FC"/>
    <w:rsid w:val="007A0506"/>
    <w:rsid w:val="007A3120"/>
    <w:rsid w:val="007A3E45"/>
    <w:rsid w:val="007A3E83"/>
    <w:rsid w:val="007A5CD7"/>
    <w:rsid w:val="007A5EF8"/>
    <w:rsid w:val="007A64C8"/>
    <w:rsid w:val="007B03FE"/>
    <w:rsid w:val="007B1CFC"/>
    <w:rsid w:val="007B52B4"/>
    <w:rsid w:val="007C08D1"/>
    <w:rsid w:val="007C6D66"/>
    <w:rsid w:val="007C6D9C"/>
    <w:rsid w:val="007D2AB9"/>
    <w:rsid w:val="007D4734"/>
    <w:rsid w:val="007D61E8"/>
    <w:rsid w:val="007E4D64"/>
    <w:rsid w:val="007F1257"/>
    <w:rsid w:val="007F1341"/>
    <w:rsid w:val="007F4A9D"/>
    <w:rsid w:val="007F60CE"/>
    <w:rsid w:val="007F78C7"/>
    <w:rsid w:val="00802479"/>
    <w:rsid w:val="00802EC8"/>
    <w:rsid w:val="00803733"/>
    <w:rsid w:val="0080506F"/>
    <w:rsid w:val="0081416F"/>
    <w:rsid w:val="00820C6A"/>
    <w:rsid w:val="00821D72"/>
    <w:rsid w:val="008226C4"/>
    <w:rsid w:val="00833BE0"/>
    <w:rsid w:val="00836DD9"/>
    <w:rsid w:val="008405E8"/>
    <w:rsid w:val="00842E90"/>
    <w:rsid w:val="00844AA1"/>
    <w:rsid w:val="00847603"/>
    <w:rsid w:val="00851268"/>
    <w:rsid w:val="00855E3F"/>
    <w:rsid w:val="00857F2C"/>
    <w:rsid w:val="0086465A"/>
    <w:rsid w:val="00867030"/>
    <w:rsid w:val="00881777"/>
    <w:rsid w:val="00890E9B"/>
    <w:rsid w:val="008A34B5"/>
    <w:rsid w:val="008A6747"/>
    <w:rsid w:val="008B08A1"/>
    <w:rsid w:val="008B3718"/>
    <w:rsid w:val="008B7050"/>
    <w:rsid w:val="008B7149"/>
    <w:rsid w:val="008C0912"/>
    <w:rsid w:val="008C1AF3"/>
    <w:rsid w:val="008D1A70"/>
    <w:rsid w:val="008D5C4C"/>
    <w:rsid w:val="008D7C5C"/>
    <w:rsid w:val="008D7CBB"/>
    <w:rsid w:val="008E061C"/>
    <w:rsid w:val="008E4543"/>
    <w:rsid w:val="008E5941"/>
    <w:rsid w:val="008F0093"/>
    <w:rsid w:val="008F0CD5"/>
    <w:rsid w:val="00901FCD"/>
    <w:rsid w:val="00904A29"/>
    <w:rsid w:val="009201DC"/>
    <w:rsid w:val="009350D1"/>
    <w:rsid w:val="00942844"/>
    <w:rsid w:val="00944075"/>
    <w:rsid w:val="0094741A"/>
    <w:rsid w:val="0095257C"/>
    <w:rsid w:val="009538C8"/>
    <w:rsid w:val="009545C6"/>
    <w:rsid w:val="00956E6A"/>
    <w:rsid w:val="0096082A"/>
    <w:rsid w:val="00963080"/>
    <w:rsid w:val="009651D7"/>
    <w:rsid w:val="009713A2"/>
    <w:rsid w:val="009716EC"/>
    <w:rsid w:val="00973964"/>
    <w:rsid w:val="009763A5"/>
    <w:rsid w:val="00976E5A"/>
    <w:rsid w:val="00976F55"/>
    <w:rsid w:val="0097771E"/>
    <w:rsid w:val="00983EA3"/>
    <w:rsid w:val="00984546"/>
    <w:rsid w:val="009859DC"/>
    <w:rsid w:val="00992D99"/>
    <w:rsid w:val="009941BA"/>
    <w:rsid w:val="009A0DA2"/>
    <w:rsid w:val="009B0690"/>
    <w:rsid w:val="009B0B7C"/>
    <w:rsid w:val="009B2923"/>
    <w:rsid w:val="009B3C61"/>
    <w:rsid w:val="009B77C6"/>
    <w:rsid w:val="009C0813"/>
    <w:rsid w:val="009C1114"/>
    <w:rsid w:val="009C6642"/>
    <w:rsid w:val="009C6DDC"/>
    <w:rsid w:val="009D1256"/>
    <w:rsid w:val="009D627A"/>
    <w:rsid w:val="009E0C23"/>
    <w:rsid w:val="009E4E90"/>
    <w:rsid w:val="009E4F94"/>
    <w:rsid w:val="009E73AE"/>
    <w:rsid w:val="009E77F7"/>
    <w:rsid w:val="009F1414"/>
    <w:rsid w:val="009F30B2"/>
    <w:rsid w:val="00A00788"/>
    <w:rsid w:val="00A01567"/>
    <w:rsid w:val="00A07566"/>
    <w:rsid w:val="00A07A08"/>
    <w:rsid w:val="00A14D57"/>
    <w:rsid w:val="00A23760"/>
    <w:rsid w:val="00A2499F"/>
    <w:rsid w:val="00A30B6C"/>
    <w:rsid w:val="00A31FD3"/>
    <w:rsid w:val="00A35A0C"/>
    <w:rsid w:val="00A4299E"/>
    <w:rsid w:val="00A46C9B"/>
    <w:rsid w:val="00A46DCA"/>
    <w:rsid w:val="00A504E7"/>
    <w:rsid w:val="00A60E61"/>
    <w:rsid w:val="00A63E6F"/>
    <w:rsid w:val="00A738F5"/>
    <w:rsid w:val="00A73946"/>
    <w:rsid w:val="00A74C90"/>
    <w:rsid w:val="00A75261"/>
    <w:rsid w:val="00A75E72"/>
    <w:rsid w:val="00A81E36"/>
    <w:rsid w:val="00A94D2A"/>
    <w:rsid w:val="00A94E4D"/>
    <w:rsid w:val="00AA4697"/>
    <w:rsid w:val="00AB0BA5"/>
    <w:rsid w:val="00AB1E9E"/>
    <w:rsid w:val="00AB329A"/>
    <w:rsid w:val="00AB7470"/>
    <w:rsid w:val="00AB7EB0"/>
    <w:rsid w:val="00AD699B"/>
    <w:rsid w:val="00AE3081"/>
    <w:rsid w:val="00AE3E5D"/>
    <w:rsid w:val="00AE4902"/>
    <w:rsid w:val="00AE5618"/>
    <w:rsid w:val="00AF6C43"/>
    <w:rsid w:val="00AF70A9"/>
    <w:rsid w:val="00AF72B0"/>
    <w:rsid w:val="00B06A4A"/>
    <w:rsid w:val="00B13285"/>
    <w:rsid w:val="00B13D4B"/>
    <w:rsid w:val="00B20C8F"/>
    <w:rsid w:val="00B20EB8"/>
    <w:rsid w:val="00B2433A"/>
    <w:rsid w:val="00B26292"/>
    <w:rsid w:val="00B34307"/>
    <w:rsid w:val="00B35D01"/>
    <w:rsid w:val="00B3606D"/>
    <w:rsid w:val="00B413F9"/>
    <w:rsid w:val="00B4320B"/>
    <w:rsid w:val="00B47D38"/>
    <w:rsid w:val="00B51610"/>
    <w:rsid w:val="00B52180"/>
    <w:rsid w:val="00B52DBE"/>
    <w:rsid w:val="00B60077"/>
    <w:rsid w:val="00B666DF"/>
    <w:rsid w:val="00B66FCE"/>
    <w:rsid w:val="00B67A12"/>
    <w:rsid w:val="00B755E2"/>
    <w:rsid w:val="00B84F79"/>
    <w:rsid w:val="00B9136C"/>
    <w:rsid w:val="00B91504"/>
    <w:rsid w:val="00BA6144"/>
    <w:rsid w:val="00BA640E"/>
    <w:rsid w:val="00BB074C"/>
    <w:rsid w:val="00BB0EA4"/>
    <w:rsid w:val="00BC1ADA"/>
    <w:rsid w:val="00BC2051"/>
    <w:rsid w:val="00BC25F7"/>
    <w:rsid w:val="00BC4AC6"/>
    <w:rsid w:val="00BD29E3"/>
    <w:rsid w:val="00BD4BAA"/>
    <w:rsid w:val="00BD6DE7"/>
    <w:rsid w:val="00BE64E6"/>
    <w:rsid w:val="00BF3D26"/>
    <w:rsid w:val="00C02309"/>
    <w:rsid w:val="00C023A3"/>
    <w:rsid w:val="00C0543F"/>
    <w:rsid w:val="00C065A4"/>
    <w:rsid w:val="00C10D1F"/>
    <w:rsid w:val="00C11D92"/>
    <w:rsid w:val="00C14C42"/>
    <w:rsid w:val="00C23F5F"/>
    <w:rsid w:val="00C2698A"/>
    <w:rsid w:val="00C46B54"/>
    <w:rsid w:val="00C515C9"/>
    <w:rsid w:val="00C52C06"/>
    <w:rsid w:val="00C64384"/>
    <w:rsid w:val="00C663C8"/>
    <w:rsid w:val="00C674D0"/>
    <w:rsid w:val="00C7062E"/>
    <w:rsid w:val="00C70A24"/>
    <w:rsid w:val="00C734BA"/>
    <w:rsid w:val="00C74694"/>
    <w:rsid w:val="00C84580"/>
    <w:rsid w:val="00C86091"/>
    <w:rsid w:val="00C87E96"/>
    <w:rsid w:val="00C965C7"/>
    <w:rsid w:val="00CA5723"/>
    <w:rsid w:val="00CA5FC5"/>
    <w:rsid w:val="00CB0D68"/>
    <w:rsid w:val="00CB1C00"/>
    <w:rsid w:val="00CB1F67"/>
    <w:rsid w:val="00CB45B5"/>
    <w:rsid w:val="00CC09BA"/>
    <w:rsid w:val="00CC402D"/>
    <w:rsid w:val="00CC4C2C"/>
    <w:rsid w:val="00CC4E97"/>
    <w:rsid w:val="00CD3D81"/>
    <w:rsid w:val="00CE194C"/>
    <w:rsid w:val="00CE22F1"/>
    <w:rsid w:val="00CE495E"/>
    <w:rsid w:val="00CE5D97"/>
    <w:rsid w:val="00CF4B14"/>
    <w:rsid w:val="00CF4C87"/>
    <w:rsid w:val="00D02F27"/>
    <w:rsid w:val="00D06B18"/>
    <w:rsid w:val="00D07960"/>
    <w:rsid w:val="00D10AE1"/>
    <w:rsid w:val="00D10F6F"/>
    <w:rsid w:val="00D14B81"/>
    <w:rsid w:val="00D15519"/>
    <w:rsid w:val="00D169B3"/>
    <w:rsid w:val="00D22AC8"/>
    <w:rsid w:val="00D2467A"/>
    <w:rsid w:val="00D265F2"/>
    <w:rsid w:val="00D32356"/>
    <w:rsid w:val="00D35091"/>
    <w:rsid w:val="00D35203"/>
    <w:rsid w:val="00D37122"/>
    <w:rsid w:val="00D41C9A"/>
    <w:rsid w:val="00D475BC"/>
    <w:rsid w:val="00D51A69"/>
    <w:rsid w:val="00D525CA"/>
    <w:rsid w:val="00D5579A"/>
    <w:rsid w:val="00D64589"/>
    <w:rsid w:val="00D66EA3"/>
    <w:rsid w:val="00D66F81"/>
    <w:rsid w:val="00D673E8"/>
    <w:rsid w:val="00D71424"/>
    <w:rsid w:val="00D7293A"/>
    <w:rsid w:val="00D745E7"/>
    <w:rsid w:val="00D747E2"/>
    <w:rsid w:val="00D75023"/>
    <w:rsid w:val="00D77148"/>
    <w:rsid w:val="00D8064A"/>
    <w:rsid w:val="00D943C7"/>
    <w:rsid w:val="00D96D62"/>
    <w:rsid w:val="00DB1225"/>
    <w:rsid w:val="00DB161E"/>
    <w:rsid w:val="00DB2562"/>
    <w:rsid w:val="00DB2C83"/>
    <w:rsid w:val="00DB6C3E"/>
    <w:rsid w:val="00DC18F2"/>
    <w:rsid w:val="00DC261B"/>
    <w:rsid w:val="00DC39D7"/>
    <w:rsid w:val="00DC5E8F"/>
    <w:rsid w:val="00DC6E73"/>
    <w:rsid w:val="00DD28BB"/>
    <w:rsid w:val="00DD324C"/>
    <w:rsid w:val="00DD3AB2"/>
    <w:rsid w:val="00DD5308"/>
    <w:rsid w:val="00DD74ED"/>
    <w:rsid w:val="00DD7CDB"/>
    <w:rsid w:val="00DE22F2"/>
    <w:rsid w:val="00DE30A3"/>
    <w:rsid w:val="00DE77B0"/>
    <w:rsid w:val="00DF283E"/>
    <w:rsid w:val="00DF4EF7"/>
    <w:rsid w:val="00DF68E7"/>
    <w:rsid w:val="00E02AE8"/>
    <w:rsid w:val="00E064DF"/>
    <w:rsid w:val="00E11C73"/>
    <w:rsid w:val="00E14141"/>
    <w:rsid w:val="00E176C8"/>
    <w:rsid w:val="00E178DE"/>
    <w:rsid w:val="00E20356"/>
    <w:rsid w:val="00E20FD6"/>
    <w:rsid w:val="00E30CDD"/>
    <w:rsid w:val="00E31BEA"/>
    <w:rsid w:val="00E33710"/>
    <w:rsid w:val="00E379DD"/>
    <w:rsid w:val="00E420A2"/>
    <w:rsid w:val="00E430D0"/>
    <w:rsid w:val="00E43A36"/>
    <w:rsid w:val="00E5063A"/>
    <w:rsid w:val="00E50B4A"/>
    <w:rsid w:val="00E544E7"/>
    <w:rsid w:val="00E552C5"/>
    <w:rsid w:val="00E5795D"/>
    <w:rsid w:val="00E6000C"/>
    <w:rsid w:val="00E60D02"/>
    <w:rsid w:val="00E63511"/>
    <w:rsid w:val="00E651E8"/>
    <w:rsid w:val="00E66A3E"/>
    <w:rsid w:val="00E71E45"/>
    <w:rsid w:val="00E9069C"/>
    <w:rsid w:val="00E91593"/>
    <w:rsid w:val="00E91C15"/>
    <w:rsid w:val="00E950ED"/>
    <w:rsid w:val="00E95ED8"/>
    <w:rsid w:val="00EA13B6"/>
    <w:rsid w:val="00EA7B6A"/>
    <w:rsid w:val="00EB2660"/>
    <w:rsid w:val="00EB6985"/>
    <w:rsid w:val="00EB7181"/>
    <w:rsid w:val="00EC05F5"/>
    <w:rsid w:val="00EC33ED"/>
    <w:rsid w:val="00ED45E0"/>
    <w:rsid w:val="00ED6A4B"/>
    <w:rsid w:val="00EE4A06"/>
    <w:rsid w:val="00EE7CD4"/>
    <w:rsid w:val="00EE7DFB"/>
    <w:rsid w:val="00F05992"/>
    <w:rsid w:val="00F07B41"/>
    <w:rsid w:val="00F11C71"/>
    <w:rsid w:val="00F13203"/>
    <w:rsid w:val="00F14E65"/>
    <w:rsid w:val="00F204A4"/>
    <w:rsid w:val="00F30366"/>
    <w:rsid w:val="00F31AB7"/>
    <w:rsid w:val="00F33A8C"/>
    <w:rsid w:val="00F47F6D"/>
    <w:rsid w:val="00F51B66"/>
    <w:rsid w:val="00F53202"/>
    <w:rsid w:val="00F559B6"/>
    <w:rsid w:val="00F55E65"/>
    <w:rsid w:val="00F617A0"/>
    <w:rsid w:val="00F63FA6"/>
    <w:rsid w:val="00F74868"/>
    <w:rsid w:val="00F77164"/>
    <w:rsid w:val="00F82EA4"/>
    <w:rsid w:val="00F83A74"/>
    <w:rsid w:val="00F84CB1"/>
    <w:rsid w:val="00F85D85"/>
    <w:rsid w:val="00F86AD6"/>
    <w:rsid w:val="00F95239"/>
    <w:rsid w:val="00F95956"/>
    <w:rsid w:val="00FA0C71"/>
    <w:rsid w:val="00FA5F28"/>
    <w:rsid w:val="00FA6E49"/>
    <w:rsid w:val="00FA6FC4"/>
    <w:rsid w:val="00FB1912"/>
    <w:rsid w:val="00FC3620"/>
    <w:rsid w:val="00FD3D2E"/>
    <w:rsid w:val="00FD4BF6"/>
    <w:rsid w:val="00FD5CCC"/>
    <w:rsid w:val="00FE5AF1"/>
    <w:rsid w:val="00FF163D"/>
    <w:rsid w:val="00FF6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65A0CD2B-C4E6-444C-B71C-4BBA0477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820"/>
    <w:pPr>
      <w:widowControl w:val="0"/>
    </w:pPr>
    <w:rPr>
      <w:rFonts w:ascii="Arial" w:hAnsi="Arial"/>
      <w:snapToGrid w:val="0"/>
      <w:sz w:val="24"/>
    </w:rPr>
  </w:style>
  <w:style w:type="paragraph" w:styleId="Heading4">
    <w:name w:val="heading 4"/>
    <w:basedOn w:val="Normal"/>
    <w:link w:val="Heading4Char"/>
    <w:uiPriority w:val="9"/>
    <w:qFormat/>
    <w:rsid w:val="00FA0C71"/>
    <w:pPr>
      <w:widowControl/>
      <w:spacing w:before="100" w:beforeAutospacing="1" w:after="100" w:afterAutospacing="1"/>
      <w:outlineLvl w:val="3"/>
    </w:pPr>
    <w:rPr>
      <w:rFonts w:ascii="Times New Roman" w:hAnsi="Times New Roman"/>
      <w:b/>
      <w:bCs/>
      <w:snapToGrid/>
      <w:szCs w:val="24"/>
    </w:rPr>
  </w:style>
  <w:style w:type="paragraph" w:styleId="Heading5">
    <w:name w:val="heading 5"/>
    <w:basedOn w:val="Normal"/>
    <w:link w:val="Heading5Char"/>
    <w:uiPriority w:val="9"/>
    <w:qFormat/>
    <w:rsid w:val="00FA0C71"/>
    <w:pPr>
      <w:widowControl/>
      <w:spacing w:before="100" w:beforeAutospacing="1" w:after="100" w:afterAutospacing="1"/>
      <w:outlineLvl w:val="4"/>
    </w:pPr>
    <w:rPr>
      <w:rFonts w:ascii="Times New Roman" w:hAnsi="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43820"/>
  </w:style>
  <w:style w:type="character" w:styleId="Hyperlink">
    <w:name w:val="Hyperlink"/>
    <w:basedOn w:val="DefaultParagraphFont"/>
    <w:rsid w:val="00443820"/>
    <w:rPr>
      <w:color w:val="0000FF"/>
      <w:u w:val="single"/>
    </w:rPr>
  </w:style>
  <w:style w:type="character" w:styleId="FollowedHyperlink">
    <w:name w:val="FollowedHyperlink"/>
    <w:basedOn w:val="DefaultParagraphFont"/>
    <w:rsid w:val="00443820"/>
    <w:rPr>
      <w:color w:val="800080"/>
      <w:u w:val="single"/>
    </w:rPr>
  </w:style>
  <w:style w:type="paragraph" w:styleId="Title">
    <w:name w:val="Title"/>
    <w:basedOn w:val="Normal"/>
    <w:qFormat/>
    <w:rsid w:val="00443820"/>
    <w:pPr>
      <w:jc w:val="center"/>
    </w:pPr>
    <w:rPr>
      <w:rFonts w:ascii="Times New Roman" w:hAnsi="Times New Roman"/>
      <w:b/>
      <w:sz w:val="32"/>
    </w:rPr>
  </w:style>
  <w:style w:type="paragraph" w:styleId="BodyTextIndent">
    <w:name w:val="Body Text Indent"/>
    <w:basedOn w:val="Normal"/>
    <w:rsid w:val="00443820"/>
    <w:pPr>
      <w:ind w:left="720"/>
    </w:pPr>
    <w:rPr>
      <w:rFonts w:ascii="Times New Roman" w:hAnsi="Times New Roman"/>
    </w:rPr>
  </w:style>
  <w:style w:type="paragraph" w:styleId="BodyText">
    <w:name w:val="Body Text"/>
    <w:basedOn w:val="Normal"/>
    <w:rsid w:val="00443820"/>
    <w:rPr>
      <w:b/>
      <w:sz w:val="20"/>
    </w:rPr>
  </w:style>
  <w:style w:type="paragraph" w:styleId="BalloonText">
    <w:name w:val="Balloon Text"/>
    <w:basedOn w:val="Normal"/>
    <w:semiHidden/>
    <w:rsid w:val="00477F53"/>
    <w:rPr>
      <w:rFonts w:ascii="Tahoma" w:hAnsi="Tahoma" w:cs="Tahoma"/>
      <w:sz w:val="16"/>
      <w:szCs w:val="16"/>
    </w:rPr>
  </w:style>
  <w:style w:type="paragraph" w:styleId="NormalWeb">
    <w:name w:val="Normal (Web)"/>
    <w:basedOn w:val="Normal"/>
    <w:uiPriority w:val="99"/>
    <w:unhideWhenUsed/>
    <w:rsid w:val="000E7155"/>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442AFE"/>
    <w:pPr>
      <w:widowControl/>
      <w:ind w:left="720"/>
      <w:contextualSpacing/>
    </w:pPr>
    <w:rPr>
      <w:rFonts w:asciiTheme="minorHAnsi" w:eastAsiaTheme="minorHAnsi" w:hAnsiTheme="minorHAnsi"/>
      <w:snapToGrid/>
      <w:szCs w:val="24"/>
      <w:lang w:bidi="en-US"/>
    </w:rPr>
  </w:style>
  <w:style w:type="paragraph" w:customStyle="1" w:styleId="Titlesheet1">
    <w:name w:val="Title sheet 1"/>
    <w:basedOn w:val="Normal"/>
    <w:uiPriority w:val="99"/>
    <w:rsid w:val="00775FB0"/>
    <w:pPr>
      <w:widowControl/>
      <w:spacing w:line="360" w:lineRule="auto"/>
      <w:ind w:left="1440" w:hanging="1080"/>
      <w:jc w:val="center"/>
    </w:pPr>
    <w:rPr>
      <w:rFonts w:ascii="Times New Roman" w:hAnsi="Times New Roman"/>
      <w:b/>
      <w:snapToGrid/>
      <w:sz w:val="28"/>
      <w:szCs w:val="24"/>
    </w:rPr>
  </w:style>
  <w:style w:type="character" w:customStyle="1" w:styleId="field-content2">
    <w:name w:val="field-content2"/>
    <w:basedOn w:val="DefaultParagraphFont"/>
    <w:rsid w:val="00BD4BAA"/>
  </w:style>
  <w:style w:type="character" w:customStyle="1" w:styleId="Heading4Char">
    <w:name w:val="Heading 4 Char"/>
    <w:basedOn w:val="DefaultParagraphFont"/>
    <w:link w:val="Heading4"/>
    <w:uiPriority w:val="9"/>
    <w:rsid w:val="00FA0C71"/>
    <w:rPr>
      <w:b/>
      <w:bCs/>
      <w:sz w:val="24"/>
      <w:szCs w:val="24"/>
    </w:rPr>
  </w:style>
  <w:style w:type="character" w:customStyle="1" w:styleId="Heading5Char">
    <w:name w:val="Heading 5 Char"/>
    <w:basedOn w:val="DefaultParagraphFont"/>
    <w:link w:val="Heading5"/>
    <w:uiPriority w:val="9"/>
    <w:rsid w:val="00FA0C71"/>
    <w:rPr>
      <w:b/>
      <w:bCs/>
    </w:rPr>
  </w:style>
  <w:style w:type="paragraph" w:styleId="Header">
    <w:name w:val="header"/>
    <w:basedOn w:val="Normal"/>
    <w:link w:val="HeaderChar"/>
    <w:rsid w:val="00EB2660"/>
    <w:pPr>
      <w:tabs>
        <w:tab w:val="center" w:pos="4680"/>
        <w:tab w:val="right" w:pos="9360"/>
      </w:tabs>
    </w:pPr>
  </w:style>
  <w:style w:type="character" w:customStyle="1" w:styleId="HeaderChar">
    <w:name w:val="Header Char"/>
    <w:basedOn w:val="DefaultParagraphFont"/>
    <w:link w:val="Header"/>
    <w:rsid w:val="00EB2660"/>
    <w:rPr>
      <w:rFonts w:ascii="Arial" w:hAnsi="Arial"/>
      <w:snapToGrid w:val="0"/>
      <w:sz w:val="24"/>
    </w:rPr>
  </w:style>
  <w:style w:type="paragraph" w:styleId="Footer">
    <w:name w:val="footer"/>
    <w:basedOn w:val="Normal"/>
    <w:link w:val="FooterChar"/>
    <w:rsid w:val="00EB2660"/>
    <w:pPr>
      <w:tabs>
        <w:tab w:val="center" w:pos="4680"/>
        <w:tab w:val="right" w:pos="9360"/>
      </w:tabs>
    </w:pPr>
  </w:style>
  <w:style w:type="character" w:customStyle="1" w:styleId="FooterChar">
    <w:name w:val="Footer Char"/>
    <w:basedOn w:val="DefaultParagraphFont"/>
    <w:link w:val="Footer"/>
    <w:rsid w:val="00EB2660"/>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20">
      <w:bodyDiv w:val="1"/>
      <w:marLeft w:val="0"/>
      <w:marRight w:val="0"/>
      <w:marTop w:val="0"/>
      <w:marBottom w:val="0"/>
      <w:divBdr>
        <w:top w:val="none" w:sz="0" w:space="0" w:color="auto"/>
        <w:left w:val="none" w:sz="0" w:space="0" w:color="auto"/>
        <w:bottom w:val="none" w:sz="0" w:space="0" w:color="auto"/>
        <w:right w:val="none" w:sz="0" w:space="0" w:color="auto"/>
      </w:divBdr>
    </w:div>
    <w:div w:id="332533589">
      <w:bodyDiv w:val="1"/>
      <w:marLeft w:val="0"/>
      <w:marRight w:val="0"/>
      <w:marTop w:val="0"/>
      <w:marBottom w:val="0"/>
      <w:divBdr>
        <w:top w:val="none" w:sz="0" w:space="0" w:color="auto"/>
        <w:left w:val="none" w:sz="0" w:space="0" w:color="auto"/>
        <w:bottom w:val="none" w:sz="0" w:space="0" w:color="auto"/>
        <w:right w:val="none" w:sz="0" w:space="0" w:color="auto"/>
      </w:divBdr>
    </w:div>
    <w:div w:id="506024094">
      <w:bodyDiv w:val="1"/>
      <w:marLeft w:val="0"/>
      <w:marRight w:val="0"/>
      <w:marTop w:val="0"/>
      <w:marBottom w:val="0"/>
      <w:divBdr>
        <w:top w:val="none" w:sz="0" w:space="0" w:color="auto"/>
        <w:left w:val="none" w:sz="0" w:space="0" w:color="auto"/>
        <w:bottom w:val="none" w:sz="0" w:space="0" w:color="auto"/>
        <w:right w:val="none" w:sz="0" w:space="0" w:color="auto"/>
      </w:divBdr>
    </w:div>
    <w:div w:id="745687316">
      <w:bodyDiv w:val="1"/>
      <w:marLeft w:val="0"/>
      <w:marRight w:val="0"/>
      <w:marTop w:val="0"/>
      <w:marBottom w:val="0"/>
      <w:divBdr>
        <w:top w:val="none" w:sz="0" w:space="0" w:color="auto"/>
        <w:left w:val="none" w:sz="0" w:space="0" w:color="auto"/>
        <w:bottom w:val="none" w:sz="0" w:space="0" w:color="auto"/>
        <w:right w:val="none" w:sz="0" w:space="0" w:color="auto"/>
      </w:divBdr>
    </w:div>
    <w:div w:id="808670040">
      <w:bodyDiv w:val="1"/>
      <w:marLeft w:val="0"/>
      <w:marRight w:val="0"/>
      <w:marTop w:val="0"/>
      <w:marBottom w:val="0"/>
      <w:divBdr>
        <w:top w:val="none" w:sz="0" w:space="0" w:color="auto"/>
        <w:left w:val="none" w:sz="0" w:space="0" w:color="auto"/>
        <w:bottom w:val="none" w:sz="0" w:space="0" w:color="auto"/>
        <w:right w:val="none" w:sz="0" w:space="0" w:color="auto"/>
      </w:divBdr>
    </w:div>
    <w:div w:id="862789716">
      <w:bodyDiv w:val="1"/>
      <w:marLeft w:val="0"/>
      <w:marRight w:val="0"/>
      <w:marTop w:val="0"/>
      <w:marBottom w:val="0"/>
      <w:divBdr>
        <w:top w:val="none" w:sz="0" w:space="0" w:color="auto"/>
        <w:left w:val="none" w:sz="0" w:space="0" w:color="auto"/>
        <w:bottom w:val="none" w:sz="0" w:space="0" w:color="auto"/>
        <w:right w:val="none" w:sz="0" w:space="0" w:color="auto"/>
      </w:divBdr>
    </w:div>
    <w:div w:id="1098019222">
      <w:bodyDiv w:val="1"/>
      <w:marLeft w:val="0"/>
      <w:marRight w:val="0"/>
      <w:marTop w:val="0"/>
      <w:marBottom w:val="0"/>
      <w:divBdr>
        <w:top w:val="none" w:sz="0" w:space="0" w:color="auto"/>
        <w:left w:val="none" w:sz="0" w:space="0" w:color="auto"/>
        <w:bottom w:val="none" w:sz="0" w:space="0" w:color="auto"/>
        <w:right w:val="none" w:sz="0" w:space="0" w:color="auto"/>
      </w:divBdr>
    </w:div>
    <w:div w:id="1467507162">
      <w:bodyDiv w:val="1"/>
      <w:marLeft w:val="0"/>
      <w:marRight w:val="0"/>
      <w:marTop w:val="0"/>
      <w:marBottom w:val="0"/>
      <w:divBdr>
        <w:top w:val="none" w:sz="0" w:space="0" w:color="auto"/>
        <w:left w:val="none" w:sz="0" w:space="0" w:color="auto"/>
        <w:bottom w:val="none" w:sz="0" w:space="0" w:color="auto"/>
        <w:right w:val="none" w:sz="0" w:space="0" w:color="auto"/>
      </w:divBdr>
    </w:div>
    <w:div w:id="1661612996">
      <w:bodyDiv w:val="1"/>
      <w:marLeft w:val="0"/>
      <w:marRight w:val="0"/>
      <w:marTop w:val="0"/>
      <w:marBottom w:val="0"/>
      <w:divBdr>
        <w:top w:val="none" w:sz="0" w:space="0" w:color="auto"/>
        <w:left w:val="none" w:sz="0" w:space="0" w:color="auto"/>
        <w:bottom w:val="none" w:sz="0" w:space="0" w:color="auto"/>
        <w:right w:val="none" w:sz="0" w:space="0" w:color="auto"/>
      </w:divBdr>
    </w:div>
    <w:div w:id="1790003176">
      <w:bodyDiv w:val="1"/>
      <w:marLeft w:val="0"/>
      <w:marRight w:val="0"/>
      <w:marTop w:val="0"/>
      <w:marBottom w:val="0"/>
      <w:divBdr>
        <w:top w:val="none" w:sz="0" w:space="0" w:color="auto"/>
        <w:left w:val="none" w:sz="0" w:space="0" w:color="auto"/>
        <w:bottom w:val="none" w:sz="0" w:space="0" w:color="auto"/>
        <w:right w:val="none" w:sz="0" w:space="0" w:color="auto"/>
      </w:divBdr>
      <w:divsChild>
        <w:div w:id="386926545">
          <w:marLeft w:val="547"/>
          <w:marRight w:val="0"/>
          <w:marTop w:val="0"/>
          <w:marBottom w:val="0"/>
          <w:divBdr>
            <w:top w:val="none" w:sz="0" w:space="0" w:color="auto"/>
            <w:left w:val="none" w:sz="0" w:space="0" w:color="auto"/>
            <w:bottom w:val="none" w:sz="0" w:space="0" w:color="auto"/>
            <w:right w:val="none" w:sz="0" w:space="0" w:color="auto"/>
          </w:divBdr>
        </w:div>
        <w:div w:id="1443304141">
          <w:marLeft w:val="547"/>
          <w:marRight w:val="0"/>
          <w:marTop w:val="0"/>
          <w:marBottom w:val="0"/>
          <w:divBdr>
            <w:top w:val="none" w:sz="0" w:space="0" w:color="auto"/>
            <w:left w:val="none" w:sz="0" w:space="0" w:color="auto"/>
            <w:bottom w:val="none" w:sz="0" w:space="0" w:color="auto"/>
            <w:right w:val="none" w:sz="0" w:space="0" w:color="auto"/>
          </w:divBdr>
        </w:div>
        <w:div w:id="1519857436">
          <w:marLeft w:val="547"/>
          <w:marRight w:val="0"/>
          <w:marTop w:val="0"/>
          <w:marBottom w:val="0"/>
          <w:divBdr>
            <w:top w:val="none" w:sz="0" w:space="0" w:color="auto"/>
            <w:left w:val="none" w:sz="0" w:space="0" w:color="auto"/>
            <w:bottom w:val="none" w:sz="0" w:space="0" w:color="auto"/>
            <w:right w:val="none" w:sz="0" w:space="0" w:color="auto"/>
          </w:divBdr>
        </w:div>
      </w:divsChild>
    </w:div>
    <w:div w:id="1928734672">
      <w:bodyDiv w:val="1"/>
      <w:marLeft w:val="0"/>
      <w:marRight w:val="0"/>
      <w:marTop w:val="0"/>
      <w:marBottom w:val="0"/>
      <w:divBdr>
        <w:top w:val="none" w:sz="0" w:space="0" w:color="auto"/>
        <w:left w:val="none" w:sz="0" w:space="0" w:color="auto"/>
        <w:bottom w:val="none" w:sz="0" w:space="0" w:color="auto"/>
        <w:right w:val="none" w:sz="0" w:space="0" w:color="auto"/>
      </w:divBdr>
      <w:divsChild>
        <w:div w:id="1711685188">
          <w:marLeft w:val="720"/>
          <w:marRight w:val="0"/>
          <w:marTop w:val="0"/>
          <w:marBottom w:val="0"/>
          <w:divBdr>
            <w:top w:val="none" w:sz="0" w:space="0" w:color="auto"/>
            <w:left w:val="none" w:sz="0" w:space="0" w:color="auto"/>
            <w:bottom w:val="none" w:sz="0" w:space="0" w:color="auto"/>
            <w:right w:val="none" w:sz="0" w:space="0" w:color="auto"/>
          </w:divBdr>
        </w:div>
        <w:div w:id="2071687973">
          <w:marLeft w:val="720"/>
          <w:marRight w:val="0"/>
          <w:marTop w:val="0"/>
          <w:marBottom w:val="0"/>
          <w:divBdr>
            <w:top w:val="none" w:sz="0" w:space="0" w:color="auto"/>
            <w:left w:val="none" w:sz="0" w:space="0" w:color="auto"/>
            <w:bottom w:val="none" w:sz="0" w:space="0" w:color="auto"/>
            <w:right w:val="none" w:sz="0" w:space="0" w:color="auto"/>
          </w:divBdr>
        </w:div>
      </w:divsChild>
    </w:div>
    <w:div w:id="1936746775">
      <w:bodyDiv w:val="1"/>
      <w:marLeft w:val="0"/>
      <w:marRight w:val="0"/>
      <w:marTop w:val="0"/>
      <w:marBottom w:val="0"/>
      <w:divBdr>
        <w:top w:val="none" w:sz="0" w:space="0" w:color="auto"/>
        <w:left w:val="none" w:sz="0" w:space="0" w:color="auto"/>
        <w:bottom w:val="none" w:sz="0" w:space="0" w:color="auto"/>
        <w:right w:val="none" w:sz="0" w:space="0" w:color="auto"/>
      </w:divBdr>
    </w:div>
    <w:div w:id="2087335564">
      <w:bodyDiv w:val="1"/>
      <w:marLeft w:val="0"/>
      <w:marRight w:val="0"/>
      <w:marTop w:val="0"/>
      <w:marBottom w:val="0"/>
      <w:divBdr>
        <w:top w:val="none" w:sz="0" w:space="0" w:color="auto"/>
        <w:left w:val="none" w:sz="0" w:space="0" w:color="auto"/>
        <w:bottom w:val="none" w:sz="0" w:space="0" w:color="auto"/>
        <w:right w:val="none" w:sz="0" w:space="0" w:color="auto"/>
      </w:divBdr>
    </w:div>
    <w:div w:id="211976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pidspecialist.org" TargetMode="External"/><Relationship Id="rId13" Type="http://schemas.openxmlformats.org/officeDocument/2006/relationships/image" Target="media/image3.png"/><Relationship Id="rId18" Type="http://schemas.openxmlformats.org/officeDocument/2006/relationships/hyperlink" Target="mailto:rlaforge@nc.rr.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lipid.org" TargetMode="External"/><Relationship Id="rId12" Type="http://schemas.openxmlformats.org/officeDocument/2006/relationships/image" Target="media/image2.png"/><Relationship Id="rId17" Type="http://schemas.openxmlformats.org/officeDocument/2006/relationships/hyperlink" Target="mailto:rlaforge@nc.rr.com" TargetMode="External"/><Relationship Id="rId2" Type="http://schemas.openxmlformats.org/officeDocument/2006/relationships/styles" Target="styles.xml"/><Relationship Id="rId16" Type="http://schemas.openxmlformats.org/officeDocument/2006/relationships/hyperlink" Target="http://www.ncqa.org/tabid/59/default.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PhysicianFeeSched/"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package" Target="embeddings/Microsoft_PowerPoint_Slide1.sldx"/><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7563</Words>
  <Characters>43111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TYPICAL QUESTIONS PHYSICIANS ASK</vt:lpstr>
    </vt:vector>
  </TitlesOfParts>
  <Company>Duke Lipid Clinic</Company>
  <LinksUpToDate>false</LinksUpToDate>
  <CharactersWithSpaces>50573</CharactersWithSpaces>
  <SharedDoc>false</SharedDoc>
  <HLinks>
    <vt:vector size="12" baseType="variant">
      <vt:variant>
        <vt:i4>3407980</vt:i4>
      </vt:variant>
      <vt:variant>
        <vt:i4>3</vt:i4>
      </vt:variant>
      <vt:variant>
        <vt:i4>0</vt:i4>
      </vt:variant>
      <vt:variant>
        <vt:i4>5</vt:i4>
      </vt:variant>
      <vt:variant>
        <vt:lpwstr>http://www.lipidspecialist.org/</vt:lpwstr>
      </vt:variant>
      <vt:variant>
        <vt:lpwstr/>
      </vt:variant>
      <vt:variant>
        <vt:i4>6881286</vt:i4>
      </vt:variant>
      <vt:variant>
        <vt:i4>0</vt:i4>
      </vt:variant>
      <vt:variant>
        <vt:i4>0</vt:i4>
      </vt:variant>
      <vt:variant>
        <vt:i4>5</vt:i4>
      </vt:variant>
      <vt:variant>
        <vt:lpwstr>mailto:rlaforge@nc.rr.com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TYPICAL QUESTIONS PHYSICIANS ASK</dc:title>
  <dc:creator>Ralph La Forge</dc:creator>
  <cp:lastModifiedBy>Ralph La Forge</cp:lastModifiedBy>
  <cp:revision>2</cp:revision>
  <cp:lastPrinted>2011-09-22T12:12:00Z</cp:lastPrinted>
  <dcterms:created xsi:type="dcterms:W3CDTF">2015-11-07T14:20:00Z</dcterms:created>
  <dcterms:modified xsi:type="dcterms:W3CDTF">2015-11-07T14:20:00Z</dcterms:modified>
</cp:coreProperties>
</file>